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7B3ECE">
        <w:rPr>
          <w:rFonts w:cs="Times New Roman"/>
          <w:b/>
          <w:sz w:val="52"/>
          <w:szCs w:val="52"/>
        </w:rPr>
        <w:t>5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4C1BD2" w:rsidRPr="004C1BD2" w:rsidRDefault="004C1BD2" w:rsidP="00AF76B5">
      <w:pPr>
        <w:jc w:val="center"/>
        <w:rPr>
          <w:rFonts w:cs="Times New Roman"/>
          <w:b/>
          <w:sz w:val="28"/>
          <w:szCs w:val="28"/>
        </w:rPr>
      </w:pPr>
      <w:r w:rsidRPr="004C1BD2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 xml:space="preserve">Izmjene i dopune proračuna Grada Vukovara za 2025.g. </w:t>
      </w:r>
      <w:r w:rsidR="002D28A2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2D28A2" w:rsidP="00AF76B5">
      <w:pPr>
        <w:jc w:val="center"/>
        <w:rPr>
          <w:rFonts w:cs="Times New Roman"/>
        </w:rPr>
      </w:pPr>
      <w:r>
        <w:rPr>
          <w:rFonts w:cs="Times New Roman"/>
        </w:rPr>
        <w:t>Rujan</w:t>
      </w:r>
      <w:r w:rsidR="004C1BD2">
        <w:rPr>
          <w:rFonts w:cs="Times New Roman"/>
        </w:rPr>
        <w:t xml:space="preserve"> </w:t>
      </w:r>
      <w:r w:rsidR="00AF76B5" w:rsidRPr="004508CF">
        <w:rPr>
          <w:rFonts w:cs="Times New Roman"/>
        </w:rPr>
        <w:t>20</w:t>
      </w:r>
      <w:r w:rsidR="005A0213">
        <w:rPr>
          <w:rFonts w:cs="Times New Roman"/>
        </w:rPr>
        <w:t>2</w:t>
      </w:r>
      <w:r w:rsidR="004C1BD2">
        <w:rPr>
          <w:rFonts w:cs="Times New Roman"/>
        </w:rPr>
        <w:t>5</w:t>
      </w:r>
      <w:r w:rsidR="00AF76B5"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Nadalje, proračun se sastoji od općeg i posebnog dijela te </w:t>
      </w:r>
      <w:r w:rsidR="007B3ECE">
        <w:rPr>
          <w:rFonts w:cs="Times New Roman"/>
        </w:rPr>
        <w:t>obrazloženja</w:t>
      </w:r>
      <w:r w:rsidRPr="004508CF">
        <w:rPr>
          <w:rFonts w:cs="Times New Roman"/>
        </w:rPr>
        <w:t>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7B3ECE" w:rsidP="00CF40C2">
      <w:pPr>
        <w:jc w:val="both"/>
        <w:rPr>
          <w:rFonts w:cs="Times New Roman"/>
        </w:rPr>
      </w:pPr>
      <w:r>
        <w:rPr>
          <w:rFonts w:cs="Times New Roman"/>
        </w:rPr>
        <w:t>Obrazloženje proračuna sastoji se od obrazloženja općeg dijela proračuna i obrazloženja posebnog dijela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7B3ECE">
        <w:rPr>
          <w:rFonts w:cs="Times New Roman"/>
        </w:rPr>
        <w:t>5</w:t>
      </w:r>
      <w:r w:rsidRPr="00DF2E00">
        <w:rPr>
          <w:rFonts w:cs="Times New Roman"/>
        </w:rPr>
        <w:t xml:space="preserve">. godinu planirani su u iznosu od </w:t>
      </w:r>
      <w:r w:rsidR="002D28A2">
        <w:rPr>
          <w:rFonts w:cs="Times New Roman"/>
        </w:rPr>
        <w:t>80.600.474,00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7B3ECE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7B3ECE">
              <w:rPr>
                <w:rFonts w:cs="Times New Roman"/>
                <w:b/>
              </w:rPr>
              <w:t>5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2D28A2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76.886474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C1BD2" w:rsidP="004C1BD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6.465</w:t>
            </w:r>
            <w:r w:rsidR="004066E1">
              <w:rPr>
                <w:rFonts w:cs="Times New Roman"/>
              </w:rPr>
              <w:t>.000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2D28A2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64.160.463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7B3ECE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2.09</w:t>
            </w:r>
            <w:r w:rsidR="000B4B3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  <w:r w:rsidR="000B4B3A">
              <w:rPr>
                <w:rFonts w:cs="Times New Roman"/>
              </w:rPr>
              <w:t>2</w:t>
            </w:r>
            <w:r>
              <w:rPr>
                <w:rFonts w:cs="Times New Roman"/>
              </w:rPr>
              <w:t>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0B4B3A" w:rsidP="004C1BD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B3ECE">
              <w:rPr>
                <w:rFonts w:cs="Times New Roman"/>
              </w:rPr>
              <w:t>.</w:t>
            </w:r>
            <w:r w:rsidR="004C1BD2">
              <w:rPr>
                <w:rFonts w:cs="Times New Roman"/>
              </w:rPr>
              <w:t>821</w:t>
            </w:r>
            <w:r w:rsidR="007B3ECE">
              <w:rPr>
                <w:rFonts w:cs="Times New Roman"/>
              </w:rPr>
              <w:t>.</w:t>
            </w:r>
            <w:r>
              <w:rPr>
                <w:rFonts w:cs="Times New Roman"/>
              </w:rPr>
              <w:t>501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C1BD2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  <w:r w:rsidR="000B4B3A">
              <w:rPr>
                <w:rFonts w:cs="Times New Roman"/>
              </w:rPr>
              <w:t>92.300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0B4B3A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  <w:r w:rsidR="004066E1">
              <w:rPr>
                <w:rFonts w:cs="Times New Roman"/>
              </w:rPr>
              <w:t>.0</w:t>
            </w:r>
            <w:r>
              <w:rPr>
                <w:rFonts w:cs="Times New Roman"/>
              </w:rPr>
              <w:t>1</w:t>
            </w:r>
            <w:r w:rsidR="004066E1">
              <w:rPr>
                <w:rFonts w:cs="Times New Roman"/>
              </w:rPr>
              <w:t>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7B3ECE" w:rsidP="004066E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1.319.000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7B3ECE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451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7B3EC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B3ECE">
              <w:rPr>
                <w:rFonts w:cs="Times New Roman"/>
              </w:rPr>
              <w:t>68</w:t>
            </w:r>
            <w:r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2D28A2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6.3</w:t>
            </w:r>
            <w:r w:rsidR="007B3ECE">
              <w:rPr>
                <w:rFonts w:cs="Times New Roman"/>
                <w:b/>
              </w:rPr>
              <w:t>9</w:t>
            </w:r>
            <w:r w:rsidR="004066E1">
              <w:rPr>
                <w:rFonts w:cs="Times New Roman"/>
                <w:b/>
              </w:rPr>
              <w:t>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2D28A2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84.600.474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</w:t>
      </w:r>
      <w:r w:rsidR="00DB069B">
        <w:rPr>
          <w:rFonts w:cs="Times New Roman"/>
        </w:rPr>
        <w:t xml:space="preserve"> ITU programa (rekonstrukcija Grand hotela, izgradnja zatvorenih teniskih terena)</w:t>
      </w:r>
      <w:r w:rsidR="002C0B1C">
        <w:rPr>
          <w:rFonts w:cs="Times New Roman"/>
        </w:rPr>
        <w:t>,</w:t>
      </w:r>
      <w:r w:rsidR="006A54DB">
        <w:rPr>
          <w:rFonts w:cs="Times New Roman"/>
        </w:rPr>
        <w:t xml:space="preserve"> </w:t>
      </w:r>
      <w:r w:rsidR="00DB069B">
        <w:rPr>
          <w:rFonts w:cs="Times New Roman"/>
        </w:rPr>
        <w:t xml:space="preserve">projekte kandidirane na program Nacionalni plan oporavka i otpornosti (ulaganja u proširenje objekata dječjih vrtića i obnove zgrada osnovnih škola), </w:t>
      </w:r>
      <w:r w:rsidR="006A54DB">
        <w:rPr>
          <w:rFonts w:cs="Times New Roman"/>
        </w:rPr>
        <w:t>projekte UO za gospodarstvo:</w:t>
      </w:r>
      <w:r w:rsidR="00DB069B">
        <w:rPr>
          <w:rFonts w:cs="Times New Roman"/>
        </w:rPr>
        <w:t xml:space="preserve"> izgradnja </w:t>
      </w:r>
      <w:proofErr w:type="spellStart"/>
      <w:r w:rsidR="00DB069B">
        <w:rPr>
          <w:rFonts w:cs="Times New Roman"/>
        </w:rPr>
        <w:t>obaloutvrde</w:t>
      </w:r>
      <w:proofErr w:type="spellEnd"/>
      <w:r w:rsidR="00DB069B">
        <w:rPr>
          <w:rFonts w:cs="Times New Roman"/>
        </w:rPr>
        <w:t xml:space="preserve"> i sl.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</w:t>
      </w:r>
      <w:r w:rsidR="00DB069B">
        <w:rPr>
          <w:rFonts w:cs="Times New Roman"/>
        </w:rPr>
        <w:t>2,5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DB069B">
        <w:rPr>
          <w:rFonts w:cs="Times New Roman"/>
        </w:rPr>
        <w:t>preko</w:t>
      </w:r>
      <w:r w:rsidR="002C0B1C">
        <w:rPr>
          <w:rFonts w:cs="Times New Roman"/>
        </w:rPr>
        <w:t xml:space="preserve"> </w:t>
      </w:r>
      <w:r w:rsidR="00DB069B">
        <w:rPr>
          <w:rFonts w:cs="Times New Roman"/>
        </w:rPr>
        <w:t>5,</w:t>
      </w:r>
      <w:r w:rsidR="008C2CEC">
        <w:rPr>
          <w:rFonts w:cs="Times New Roman"/>
        </w:rPr>
        <w:t>6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DB069B">
        <w:rPr>
          <w:rFonts w:cs="Times New Roman"/>
        </w:rPr>
        <w:t>87</w:t>
      </w:r>
      <w:r w:rsidR="008C2CEC">
        <w:rPr>
          <w:rFonts w:cs="Times New Roman"/>
        </w:rPr>
        <w:t>,66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8C2CEC">
        <w:rPr>
          <w:rFonts w:cs="Times New Roman"/>
        </w:rPr>
        <w:t>65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612BFA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612BFA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612BFA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5740CA">
        <w:t>5</w:t>
      </w:r>
      <w:r w:rsidRPr="004508CF">
        <w:t>.g.</w:t>
      </w:r>
    </w:p>
    <w:p w:rsidR="004D0C62" w:rsidRPr="004508CF" w:rsidRDefault="002D28A2" w:rsidP="00E63A34">
      <w:r>
        <w:rPr>
          <w:noProof/>
          <w:lang w:eastAsia="hr-HR"/>
        </w:rPr>
        <w:drawing>
          <wp:inline distT="0" distB="0" distL="0" distR="0" wp14:anchorId="79F07AAC" wp14:editId="361E4C76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DB069B">
        <w:rPr>
          <w:rFonts w:cs="Times New Roman"/>
        </w:rPr>
        <w:t>5</w:t>
      </w:r>
      <w:r w:rsidRPr="004508CF">
        <w:rPr>
          <w:rFonts w:cs="Times New Roman"/>
        </w:rPr>
        <w:t xml:space="preserve">.g. iznose </w:t>
      </w:r>
      <w:r w:rsidR="002D28A2">
        <w:rPr>
          <w:rFonts w:cs="Times New Roman"/>
        </w:rPr>
        <w:t>89.500</w:t>
      </w:r>
      <w:r w:rsidR="009915D7">
        <w:rPr>
          <w:rFonts w:cs="Times New Roman"/>
        </w:rPr>
        <w:t>.000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DB069B">
        <w:rPr>
          <w:rFonts w:cs="Times New Roman"/>
        </w:rPr>
        <w:t>5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iznos</w:t>
      </w:r>
      <w:r w:rsidR="002D28A2">
        <w:rPr>
          <w:rFonts w:cs="Times New Roman"/>
        </w:rPr>
        <w:t xml:space="preserve"> planiranih</w:t>
      </w:r>
      <w:r w:rsidRPr="004508CF">
        <w:rPr>
          <w:rFonts w:cs="Times New Roman"/>
        </w:rPr>
        <w:t xml:space="preserve">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24012B">
        <w:t>5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24012B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2025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2D28A2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47.490.740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21.617.459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19.431.502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2D28A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140.538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2D28A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875.594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2.035.600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3.390.047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2D28A2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41.528.260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DB1FEB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991.720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2D28A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25.419.440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5F538D" w:rsidP="00DB1F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DB1FEB">
              <w:rPr>
                <w:rFonts w:cs="Times New Roman"/>
              </w:rPr>
              <w:t>0</w:t>
            </w:r>
            <w:r>
              <w:rPr>
                <w:rFonts w:cs="Times New Roman"/>
              </w:rPr>
              <w:t>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2D28A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15.116</w:t>
            </w:r>
            <w:r w:rsidR="00DB1FEB">
              <w:rPr>
                <w:rFonts w:cs="Times New Roman"/>
              </w:rPr>
              <w:t>.500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DB1FEB">
              <w:rPr>
                <w:rFonts w:cs="Times New Roman"/>
                <w:b/>
              </w:rPr>
              <w:t>8</w:t>
            </w:r>
            <w:r w:rsidR="009915D7">
              <w:rPr>
                <w:rFonts w:cs="Times New Roman"/>
                <w:b/>
              </w:rPr>
              <w:t>1</w:t>
            </w:r>
            <w:r w:rsidR="00DB1FEB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2D28A2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89.500</w:t>
            </w:r>
            <w:r w:rsidR="005F538D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Default="005F538D" w:rsidP="005F538D">
      <w:pPr>
        <w:spacing w:after="0" w:line="240" w:lineRule="auto"/>
        <w:jc w:val="both"/>
      </w:pPr>
      <w:r w:rsidRPr="00DA63C4">
        <w:rPr>
          <w:rFonts w:eastAsia="Times New Roman" w:cs="Times New Roman"/>
          <w:lang w:eastAsia="hr-HR"/>
        </w:rPr>
        <w:t>Rashodi za zaposlene (</w:t>
      </w:r>
      <w:r w:rsidR="008C0C44">
        <w:rPr>
          <w:rFonts w:eastAsia="Times New Roman" w:cs="Times New Roman"/>
          <w:lang w:eastAsia="hr-HR"/>
        </w:rPr>
        <w:t>21.</w:t>
      </w:r>
      <w:r w:rsidR="002D28A2">
        <w:rPr>
          <w:rFonts w:eastAsia="Times New Roman" w:cs="Times New Roman"/>
          <w:lang w:eastAsia="hr-HR"/>
        </w:rPr>
        <w:t>617.459</w:t>
      </w:r>
      <w:r w:rsidRPr="00DA63C4">
        <w:rPr>
          <w:rFonts w:eastAsia="Times New Roman" w:cs="Times New Roman"/>
          <w:lang w:eastAsia="hr-HR"/>
        </w:rPr>
        <w:t xml:space="preserve"> €) su plaće, doprinosi i ostali rashodi za zaposlene, uključujući i rashode za zaposlene u proračunskim korisnicima, za zaposlene u javnim radovima, kao i za zaposlene na projektima koji se finan</w:t>
      </w:r>
      <w:r w:rsidRPr="00DA63C4">
        <w:t xml:space="preserve">ciraju iz sredstava EU. Od ukupnih planiranih rashoda za zaposlene </w:t>
      </w:r>
      <w:r w:rsidR="00DA63C4" w:rsidRPr="00DA63C4">
        <w:t>2.285.300</w:t>
      </w:r>
      <w:r w:rsidRPr="00DA63C4">
        <w:t xml:space="preserve">,00 € se odnosi na zaposlene u upravnim tijelima Grada Vukovara,  </w:t>
      </w:r>
      <w:r w:rsidR="00DA63C4" w:rsidRPr="00DA63C4">
        <w:t>10.40</w:t>
      </w:r>
      <w:r w:rsidR="005445CA">
        <w:t>4</w:t>
      </w:r>
      <w:r w:rsidR="00DA63C4" w:rsidRPr="00DA63C4">
        <w:t>.126</w:t>
      </w:r>
      <w:r w:rsidRPr="00DA63C4">
        <w:t xml:space="preserve"> € na zaposlene u osnovnim školama, </w:t>
      </w:r>
      <w:r w:rsidR="005445CA">
        <w:t>7.490.858</w:t>
      </w:r>
      <w:r w:rsidRPr="00DA63C4">
        <w:t xml:space="preserve">,00 € na zaposlene u ostalim proračunskim korisnicima, dok se iznos </w:t>
      </w:r>
      <w:r w:rsidR="0042585F" w:rsidRPr="00DA63C4">
        <w:t xml:space="preserve">od </w:t>
      </w:r>
      <w:r w:rsidR="002D28A2">
        <w:t>766.172</w:t>
      </w:r>
      <w:r w:rsidR="00DA63C4" w:rsidRPr="00DA63C4">
        <w:t xml:space="preserve"> </w:t>
      </w:r>
      <w:r w:rsidRPr="00DA63C4">
        <w:t>€ odnosi na zaposlene preko projekata (javni radovi, Pokloni mi osmjeh</w:t>
      </w:r>
      <w:r w:rsidR="00DA63C4" w:rsidRPr="00DA63C4">
        <w:t>, pomoćnici u nastavi</w:t>
      </w:r>
      <w:r w:rsidRPr="00DA63C4">
        <w:t xml:space="preserve">). </w:t>
      </w:r>
      <w:r w:rsidR="0042585F" w:rsidRPr="00DA63C4">
        <w:t>Preostali iznos (</w:t>
      </w:r>
      <w:r w:rsidR="005445CA">
        <w:t>946.003</w:t>
      </w:r>
      <w:r w:rsidR="0042585F" w:rsidRPr="00DA63C4">
        <w:t xml:space="preserve"> €) planiran je za materijalna prava zaposlenih.</w:t>
      </w:r>
    </w:p>
    <w:p w:rsidR="00DA63C4" w:rsidRPr="00DA63C4" w:rsidRDefault="00DA63C4" w:rsidP="005F538D">
      <w:pPr>
        <w:spacing w:after="0" w:line="240" w:lineRule="auto"/>
        <w:jc w:val="both"/>
      </w:pPr>
    </w:p>
    <w:p w:rsidR="00C8754B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A63C4">
        <w:rPr>
          <w:rFonts w:eastAsia="Times New Roman" w:cs="Times New Roman"/>
          <w:lang w:eastAsia="hr-HR"/>
        </w:rPr>
        <w:t>Materijalni rashodi (</w:t>
      </w:r>
      <w:r w:rsidR="002D28A2">
        <w:rPr>
          <w:rFonts w:eastAsia="Times New Roman" w:cs="Times New Roman"/>
          <w:lang w:eastAsia="hr-HR"/>
        </w:rPr>
        <w:t>19.431.502</w:t>
      </w:r>
      <w:r w:rsidR="002154A2" w:rsidRPr="00DA63C4">
        <w:rPr>
          <w:rFonts w:eastAsia="Times New Roman" w:cs="Times New Roman"/>
          <w:lang w:eastAsia="hr-HR"/>
        </w:rPr>
        <w:t>,00</w:t>
      </w:r>
      <w:r w:rsidRPr="00DA63C4">
        <w:rPr>
          <w:rFonts w:eastAsia="Times New Roman" w:cs="Times New Roman"/>
          <w:lang w:eastAsia="hr-HR"/>
        </w:rPr>
        <w:t xml:space="preserve"> </w:t>
      </w:r>
      <w:r w:rsidR="00F76B80" w:rsidRPr="00DA63C4">
        <w:rPr>
          <w:rFonts w:eastAsia="Times New Roman" w:cs="Times New Roman"/>
          <w:lang w:eastAsia="hr-HR"/>
        </w:rPr>
        <w:t>€</w:t>
      </w:r>
      <w:r w:rsidRPr="00DA63C4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 w:rsidRPr="00DA63C4">
        <w:rPr>
          <w:rFonts w:eastAsia="Times New Roman" w:cs="Times New Roman"/>
          <w:lang w:eastAsia="hr-HR"/>
        </w:rPr>
        <w:t xml:space="preserve"> i nogostupa, vodoopskrbnih cjevovoda i sl.</w:t>
      </w:r>
      <w:r w:rsidRPr="00DA63C4">
        <w:rPr>
          <w:rFonts w:eastAsia="Times New Roman" w:cs="Times New Roman"/>
          <w:lang w:eastAsia="hr-HR"/>
        </w:rPr>
        <w:t>) i objekata gradske uprave i gradskih proračunskih korisnika, ali i na uredski materijal, energiju i usluge (primjerice, telefona, pošte, prijevoza, informiranja) neophodne za funkcioniranje gradskih upravnih tijela i proračunskih korisnika</w:t>
      </w:r>
      <w:r w:rsidRPr="004508CF">
        <w:rPr>
          <w:rFonts w:eastAsia="Times New Roman" w:cs="Times New Roman"/>
          <w:lang w:eastAsia="hr-HR"/>
        </w:rPr>
        <w:t xml:space="preserve"> proračuna Grada. </w:t>
      </w:r>
    </w:p>
    <w:p w:rsidR="00DA63C4" w:rsidRPr="004508CF" w:rsidRDefault="00DA63C4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5445CA">
        <w:t>5</w:t>
      </w:r>
      <w:r w:rsidRPr="004508CF">
        <w:t>.g.</w:t>
      </w:r>
    </w:p>
    <w:p w:rsidR="00686F06" w:rsidRDefault="002D28A2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0D18C877" wp14:editId="38D68967">
            <wp:extent cx="5760720" cy="4116705"/>
            <wp:effectExtent l="0" t="0" r="1143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2D28A2">
        <w:t>41.528.260</w:t>
      </w:r>
      <w:r w:rsidR="00296B0A">
        <w:t xml:space="preserve">,00 </w:t>
      </w:r>
      <w:r w:rsidR="004026AD">
        <w:t>€</w:t>
      </w:r>
      <w:r w:rsidRPr="004508CF">
        <w:t>) među kojima su najznačajniji izgradnja ili rekonstrukcija građevinskih objekata (npr.</w:t>
      </w:r>
      <w:r w:rsidR="00296B0A">
        <w:t xml:space="preserve"> </w:t>
      </w:r>
      <w:r w:rsidR="002D28A2">
        <w:t xml:space="preserve">dječji vrtići, dogradnja osnovnih škola </w:t>
      </w:r>
      <w:r w:rsidR="005445CA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2D28A2">
        <w:t>, u ovoj godini Hotel Grand, i</w:t>
      </w:r>
      <w:r w:rsidR="00296B0A">
        <w:t xml:space="preserve"> sl.)</w:t>
      </w:r>
      <w:r w:rsidR="00927477" w:rsidRPr="004508CF">
        <w:t>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5445CA">
        <w:t>6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5445CA">
        <w:rPr>
          <w:rFonts w:eastAsia="Times New Roman" w:cs="Times New Roman"/>
          <w:color w:val="000000"/>
          <w:lang w:eastAsia="hr-HR"/>
        </w:rPr>
        <w:t>vni odjel za financije i nabavu te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</w:t>
      </w:r>
      <w:r w:rsidR="00431FB5">
        <w:rPr>
          <w:rFonts w:eastAsia="Times New Roman" w:cs="Times New Roman"/>
          <w:color w:val="000000"/>
          <w:lang w:eastAsia="hr-HR"/>
        </w:rPr>
        <w:t xml:space="preserve">) i </w:t>
      </w:r>
      <w:r w:rsidR="00296B0A">
        <w:rPr>
          <w:rFonts w:eastAsia="Times New Roman" w:cs="Times New Roman"/>
          <w:color w:val="000000"/>
          <w:lang w:eastAsia="hr-HR"/>
        </w:rPr>
        <w:t>2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2D28A2">
        <w:rPr>
          <w:rFonts w:eastAsia="Times New Roman" w:cs="Times New Roman"/>
          <w:color w:val="000000"/>
          <w:lang w:eastAsia="hr-HR"/>
        </w:rPr>
        <w:t xml:space="preserve"> </w:t>
      </w:r>
      <w:r w:rsidRPr="004508CF">
        <w:rPr>
          <w:rFonts w:eastAsia="Times New Roman" w:cs="Times New Roman"/>
          <w:color w:val="000000"/>
          <w:lang w:eastAsia="hr-HR"/>
        </w:rPr>
        <w:t>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61627B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5B3BD44E" wp14:editId="631D49A6">
            <wp:extent cx="5760720" cy="3564890"/>
            <wp:effectExtent l="0" t="0" r="11430" b="1651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563DE7">
        <w:rPr>
          <w:rFonts w:eastAsia="Times New Roman" w:cs="Times New Roman"/>
          <w:color w:val="000000"/>
          <w:lang w:eastAsia="hr-HR"/>
        </w:rPr>
        <w:t>60</w:t>
      </w:r>
      <w:r w:rsidR="00296B0A">
        <w:rPr>
          <w:rFonts w:eastAsia="Times New Roman" w:cs="Times New Roman"/>
          <w:color w:val="000000"/>
          <w:lang w:eastAsia="hr-HR"/>
        </w:rPr>
        <w:t>,</w:t>
      </w:r>
      <w:r w:rsidR="00563DE7">
        <w:rPr>
          <w:rFonts w:eastAsia="Times New Roman" w:cs="Times New Roman"/>
          <w:color w:val="000000"/>
          <w:lang w:eastAsia="hr-HR"/>
        </w:rPr>
        <w:t>02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>1</w:t>
      </w:r>
      <w:r w:rsidR="00030E35">
        <w:rPr>
          <w:rFonts w:eastAsia="Times New Roman" w:cs="Times New Roman"/>
          <w:color w:val="000000"/>
          <w:lang w:eastAsia="hr-HR"/>
        </w:rPr>
        <w:t>3</w:t>
      </w:r>
      <w:r w:rsidR="004026AD">
        <w:rPr>
          <w:rFonts w:eastAsia="Times New Roman" w:cs="Times New Roman"/>
          <w:color w:val="000000"/>
          <w:lang w:eastAsia="hr-HR"/>
        </w:rPr>
        <w:t xml:space="preserve">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i branitelje </w:t>
      </w:r>
      <w:r w:rsidR="00296B0A">
        <w:rPr>
          <w:rFonts w:eastAsia="Times New Roman" w:cs="Times New Roman"/>
          <w:color w:val="000000"/>
          <w:lang w:eastAsia="hr-HR"/>
        </w:rPr>
        <w:t>2</w:t>
      </w:r>
      <w:r w:rsidR="00563DE7">
        <w:rPr>
          <w:rFonts w:eastAsia="Times New Roman" w:cs="Times New Roman"/>
          <w:color w:val="000000"/>
          <w:lang w:eastAsia="hr-HR"/>
        </w:rPr>
        <w:t>2,93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296B0A">
        <w:rPr>
          <w:rFonts w:eastAsia="Times New Roman" w:cs="Times New Roman"/>
          <w:color w:val="000000"/>
          <w:lang w:eastAsia="hr-HR"/>
        </w:rPr>
        <w:t>2</w:t>
      </w:r>
      <w:r w:rsidR="00563DE7">
        <w:rPr>
          <w:rFonts w:eastAsia="Times New Roman" w:cs="Times New Roman"/>
          <w:color w:val="000000"/>
          <w:lang w:eastAsia="hr-HR"/>
        </w:rPr>
        <w:t>7</w:t>
      </w:r>
      <w:r w:rsidR="00F320BF">
        <w:rPr>
          <w:rFonts w:eastAsia="Times New Roman" w:cs="Times New Roman"/>
          <w:color w:val="000000"/>
          <w:lang w:eastAsia="hr-HR"/>
        </w:rPr>
        <w:t>,</w:t>
      </w:r>
      <w:r w:rsidR="00563DE7">
        <w:rPr>
          <w:rFonts w:eastAsia="Times New Roman" w:cs="Times New Roman"/>
          <w:color w:val="000000"/>
          <w:lang w:eastAsia="hr-HR"/>
        </w:rPr>
        <w:t>45</w:t>
      </w:r>
      <w:r w:rsidR="00296B0A">
        <w:rPr>
          <w:rFonts w:eastAsia="Times New Roman" w:cs="Times New Roman"/>
          <w:color w:val="000000"/>
          <w:lang w:eastAsia="hr-HR"/>
        </w:rPr>
        <w:t>%</w:t>
      </w:r>
      <w:r w:rsidR="004026AD" w:rsidRPr="001056F4">
        <w:rPr>
          <w:rFonts w:eastAsia="Times New Roman" w:cs="Times New Roman"/>
          <w:color w:val="000000"/>
          <w:lang w:eastAsia="hr-HR"/>
        </w:rPr>
        <w:t>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563DE7">
        <w:rPr>
          <w:rFonts w:eastAsia="Times New Roman" w:cs="Times New Roman"/>
          <w:color w:val="000000"/>
          <w:lang w:eastAsia="hr-HR"/>
        </w:rPr>
        <w:t>24,15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>javne namjene</w:t>
      </w:r>
      <w:r w:rsidR="001056F4" w:rsidRPr="004508CF">
        <w:rPr>
          <w:rFonts w:cs="Times New Roman"/>
        </w:rPr>
        <w:t>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563DE7">
        <w:rPr>
          <w:rFonts w:eastAsia="Times New Roman" w:cs="Times New Roman"/>
          <w:color w:val="000000"/>
          <w:lang w:eastAsia="hr-HR"/>
        </w:rPr>
        <w:t>2,10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296B0A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563DE7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5EA80E2F" wp14:editId="2E033166">
            <wp:extent cx="5760720" cy="8496300"/>
            <wp:effectExtent l="0" t="0" r="1143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D9312D">
        <w:rPr>
          <w:rFonts w:eastAsia="Times New Roman" w:cs="Times New Roman"/>
          <w:color w:val="000000"/>
          <w:lang w:eastAsia="hr-HR"/>
        </w:rPr>
        <w:t>5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605459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0138BA17" wp14:editId="7E962262">
            <wp:extent cx="6191250" cy="3762375"/>
            <wp:effectExtent l="0" t="0" r="0" b="952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D9312D">
        <w:rPr>
          <w:rFonts w:cs="Times New Roman"/>
        </w:rPr>
        <w:t>5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D9312D">
        <w:rPr>
          <w:rFonts w:cs="Times New Roman"/>
        </w:rPr>
        <w:t>6</w:t>
      </w:r>
      <w:r w:rsidRPr="004508CF">
        <w:rPr>
          <w:rFonts w:cs="Times New Roman"/>
        </w:rPr>
        <w:t>. i 202</w:t>
      </w:r>
      <w:r w:rsidR="00D9312D">
        <w:rPr>
          <w:rFonts w:cs="Times New Roman"/>
        </w:rPr>
        <w:t>7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605459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030E35" w:rsidRPr="00605459">
        <w:rPr>
          <w:rFonts w:cs="Times New Roman"/>
          <w:b/>
        </w:rPr>
        <w:t>2</w:t>
      </w:r>
      <w:r w:rsidRPr="00605459">
        <w:rPr>
          <w:rFonts w:cs="Times New Roman"/>
          <w:b/>
        </w:rPr>
        <w:t>/20</w:t>
      </w:r>
      <w:r w:rsidR="002B1A26" w:rsidRPr="00605459">
        <w:rPr>
          <w:rFonts w:cs="Times New Roman"/>
          <w:b/>
        </w:rPr>
        <w:t>2</w:t>
      </w:r>
      <w:r w:rsidR="00030E35" w:rsidRPr="00605459">
        <w:rPr>
          <w:rFonts w:cs="Times New Roman"/>
          <w:b/>
        </w:rPr>
        <w:t>5</w:t>
      </w:r>
      <w:r w:rsidR="00605459">
        <w:rPr>
          <w:rFonts w:cs="Times New Roman"/>
          <w:b/>
        </w:rPr>
        <w:t>, 10/2025</w:t>
      </w:r>
      <w:bookmarkStart w:id="0" w:name="_GoBack"/>
      <w:bookmarkEnd w:id="0"/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30E35"/>
    <w:rsid w:val="00042630"/>
    <w:rsid w:val="00052538"/>
    <w:rsid w:val="00060B19"/>
    <w:rsid w:val="000671B7"/>
    <w:rsid w:val="000B4B3A"/>
    <w:rsid w:val="000C7C52"/>
    <w:rsid w:val="000F157C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741A5"/>
    <w:rsid w:val="00183A5D"/>
    <w:rsid w:val="00195BAF"/>
    <w:rsid w:val="001C0477"/>
    <w:rsid w:val="00202EFA"/>
    <w:rsid w:val="002154A2"/>
    <w:rsid w:val="00230516"/>
    <w:rsid w:val="00233AB9"/>
    <w:rsid w:val="00234ED4"/>
    <w:rsid w:val="0024012B"/>
    <w:rsid w:val="0024384F"/>
    <w:rsid w:val="00245170"/>
    <w:rsid w:val="00250ADD"/>
    <w:rsid w:val="002717EE"/>
    <w:rsid w:val="00296B0A"/>
    <w:rsid w:val="002B1A26"/>
    <w:rsid w:val="002C0B1C"/>
    <w:rsid w:val="002C4A72"/>
    <w:rsid w:val="002D25EB"/>
    <w:rsid w:val="002D28A2"/>
    <w:rsid w:val="003004CE"/>
    <w:rsid w:val="00300B52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1058E"/>
    <w:rsid w:val="0042585F"/>
    <w:rsid w:val="00431FB5"/>
    <w:rsid w:val="004412C7"/>
    <w:rsid w:val="004508CF"/>
    <w:rsid w:val="00464D40"/>
    <w:rsid w:val="004A1754"/>
    <w:rsid w:val="004A48C8"/>
    <w:rsid w:val="004B5F1C"/>
    <w:rsid w:val="004C1BD2"/>
    <w:rsid w:val="004C64CB"/>
    <w:rsid w:val="004D0C62"/>
    <w:rsid w:val="004D10BE"/>
    <w:rsid w:val="004F0299"/>
    <w:rsid w:val="00513A30"/>
    <w:rsid w:val="00521B91"/>
    <w:rsid w:val="00526D09"/>
    <w:rsid w:val="005445CA"/>
    <w:rsid w:val="00557721"/>
    <w:rsid w:val="00561095"/>
    <w:rsid w:val="00563BA1"/>
    <w:rsid w:val="00563DE7"/>
    <w:rsid w:val="005668BD"/>
    <w:rsid w:val="00570126"/>
    <w:rsid w:val="005740CA"/>
    <w:rsid w:val="00585174"/>
    <w:rsid w:val="005A0213"/>
    <w:rsid w:val="005A2C22"/>
    <w:rsid w:val="005B36CF"/>
    <w:rsid w:val="005E0576"/>
    <w:rsid w:val="005F538D"/>
    <w:rsid w:val="00605459"/>
    <w:rsid w:val="00612859"/>
    <w:rsid w:val="00612BFA"/>
    <w:rsid w:val="00615BB1"/>
    <w:rsid w:val="0061627B"/>
    <w:rsid w:val="00617DF8"/>
    <w:rsid w:val="00621D99"/>
    <w:rsid w:val="00641972"/>
    <w:rsid w:val="006442F4"/>
    <w:rsid w:val="00675BBE"/>
    <w:rsid w:val="0068068B"/>
    <w:rsid w:val="00686F06"/>
    <w:rsid w:val="00687361"/>
    <w:rsid w:val="006A54DB"/>
    <w:rsid w:val="006A796F"/>
    <w:rsid w:val="006B19F1"/>
    <w:rsid w:val="006B24D0"/>
    <w:rsid w:val="006B70F4"/>
    <w:rsid w:val="006E4387"/>
    <w:rsid w:val="006F5405"/>
    <w:rsid w:val="00705CF4"/>
    <w:rsid w:val="00713E35"/>
    <w:rsid w:val="00751435"/>
    <w:rsid w:val="00752A9F"/>
    <w:rsid w:val="00772B47"/>
    <w:rsid w:val="007834B9"/>
    <w:rsid w:val="00790A8D"/>
    <w:rsid w:val="007B3ECE"/>
    <w:rsid w:val="007C77BD"/>
    <w:rsid w:val="007E37F7"/>
    <w:rsid w:val="007F3A00"/>
    <w:rsid w:val="00806861"/>
    <w:rsid w:val="00813845"/>
    <w:rsid w:val="00814272"/>
    <w:rsid w:val="00852C5F"/>
    <w:rsid w:val="00872B87"/>
    <w:rsid w:val="00881AE0"/>
    <w:rsid w:val="008C0C44"/>
    <w:rsid w:val="008C2CEC"/>
    <w:rsid w:val="008C3FE3"/>
    <w:rsid w:val="008C3FEB"/>
    <w:rsid w:val="008D4077"/>
    <w:rsid w:val="00903B44"/>
    <w:rsid w:val="00911055"/>
    <w:rsid w:val="00911C58"/>
    <w:rsid w:val="00927477"/>
    <w:rsid w:val="009915D7"/>
    <w:rsid w:val="009E4ED1"/>
    <w:rsid w:val="00A00301"/>
    <w:rsid w:val="00A1149A"/>
    <w:rsid w:val="00A24947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80E8D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4754B"/>
    <w:rsid w:val="00D50093"/>
    <w:rsid w:val="00D9312D"/>
    <w:rsid w:val="00DA490C"/>
    <w:rsid w:val="00DA63C4"/>
    <w:rsid w:val="00DB069B"/>
    <w:rsid w:val="00DB1FEB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B7E24"/>
    <w:rsid w:val="00EC3C6C"/>
    <w:rsid w:val="00EC414D"/>
    <w:rsid w:val="00ED2DE2"/>
    <w:rsid w:val="00EE21C3"/>
    <w:rsid w:val="00F00896"/>
    <w:rsid w:val="00F021CD"/>
    <w:rsid w:val="00F0298A"/>
    <w:rsid w:val="00F139F6"/>
    <w:rsid w:val="00F320BF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\1-Prora&#269;un%20z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\1-Prora&#269;un%20za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Rebalans%20II\2-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\2-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Rebalans%20II\2-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7.6418011558658643</c:v>
                </c:pt>
                <c:pt idx="1">
                  <c:v>75.839365864545854</c:v>
                </c:pt>
                <c:pt idx="2">
                  <c:v>2.4789459217450722</c:v>
                </c:pt>
                <c:pt idx="3">
                  <c:v>3.3350888790528526</c:v>
                </c:pt>
                <c:pt idx="4">
                  <c:v>1.409330165218696</c:v>
                </c:pt>
                <c:pt idx="5">
                  <c:v>0.17731579139852099</c:v>
                </c:pt>
                <c:pt idx="6">
                  <c:v>0.53309393987556142</c:v>
                </c:pt>
                <c:pt idx="7">
                  <c:v>1.0259989796274662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96640256"/>
        <c:axId val="596639864"/>
      </c:barChart>
      <c:valAx>
        <c:axId val="596639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6640256"/>
        <c:crosses val="autoZero"/>
        <c:crossBetween val="between"/>
      </c:valAx>
      <c:catAx>
        <c:axId val="596640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6639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24.153585474860336</c:v>
                </c:pt>
                <c:pt idx="1">
                  <c:v>21.711175418994415</c:v>
                </c:pt>
                <c:pt idx="2">
                  <c:v>0.15702569832402236</c:v>
                </c:pt>
                <c:pt idx="3">
                  <c:v>0.9783173184357542</c:v>
                </c:pt>
                <c:pt idx="4">
                  <c:v>0</c:v>
                </c:pt>
                <c:pt idx="5">
                  <c:v>2.2744134078212288</c:v>
                </c:pt>
                <c:pt idx="6">
                  <c:v>3.7877620111731849</c:v>
                </c:pt>
                <c:pt idx="7">
                  <c:v>1.1080670391061453</c:v>
                </c:pt>
                <c:pt idx="8">
                  <c:v>28.401608938547483</c:v>
                </c:pt>
                <c:pt idx="9">
                  <c:v>6.7039106145251397E-4</c:v>
                </c:pt>
                <c:pt idx="10">
                  <c:v>16.889944134078213</c:v>
                </c:pt>
                <c:pt idx="11">
                  <c:v>0.53743016759776541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1018697392638939"/>
          <c:y val="7.6965426226036941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</c:strCache>
            </c:strRef>
          </c:cat>
          <c:val>
            <c:numRef>
              <c:f>'ORG. KLASIFIKACIJA'!$C$4:$C$11</c:f>
              <c:numCache>
                <c:formatCode>#,##0.00</c:formatCode>
                <c:ptCount val="8"/>
                <c:pt idx="0">
                  <c:v>4.9923240223463683</c:v>
                </c:pt>
                <c:pt idx="1">
                  <c:v>24.146145251396646</c:v>
                </c:pt>
                <c:pt idx="2">
                  <c:v>0.77900558659217878</c:v>
                </c:pt>
                <c:pt idx="3">
                  <c:v>3.2447988826815641</c:v>
                </c:pt>
                <c:pt idx="4">
                  <c:v>5.6341821229050275</c:v>
                </c:pt>
                <c:pt idx="5">
                  <c:v>0.60012067039106154</c:v>
                </c:pt>
                <c:pt idx="6">
                  <c:v>4.874078212290503E-2</c:v>
                </c:pt>
                <c:pt idx="7">
                  <c:v>60.017252513966483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</c:strCache>
            </c:strRef>
          </c:cat>
          <c:val>
            <c:numRef>
              <c:f>'ORG. KLASIFIKACIJA'!$A$4:$A$11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62236506596276464"/>
          <c:w val="0.63323473454707047"/>
          <c:h val="0.36856564999200536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716049382716049E-2"/>
          <c:y val="5.8295964125560533E-2"/>
          <c:w val="0.83245149911816574"/>
          <c:h val="0.56442451420029893"/>
        </c:manualLayout>
      </c:layout>
      <c:doughnut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korisnici'!$A$2:$A$25</c:f>
              <c:strCache>
                <c:ptCount val="24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Služba - vlastiti pogon</c:v>
                </c:pt>
                <c:pt idx="5">
                  <c:v>Upravni odjel za prostorno uređenje i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obrazovanje, sport i branitelje</c:v>
                </c:pt>
                <c:pt idx="10">
                  <c:v>Upravni odjel za društvene djelatnosti</c:v>
                </c:pt>
                <c:pt idx="11">
                  <c:v>Gradska knjižnica Vukovar</c:v>
                </c:pt>
                <c:pt idx="12">
                  <c:v>Gradski muzej Vukovar</c:v>
                </c:pt>
                <c:pt idx="13">
                  <c:v>Javna ustanova u kulturi - Hrvatski dom</c:v>
                </c:pt>
                <c:pt idx="14">
                  <c:v>Javna ustanova za upravljanje sportskim objektima</c:v>
                </c:pt>
                <c:pt idx="15">
                  <c:v>Dječji vrtić Vukovar 1</c:v>
                </c:pt>
                <c:pt idx="16">
                  <c:v>Dječji vrtić Vukovar 2</c:v>
                </c:pt>
                <c:pt idx="17">
                  <c:v>OŠ Dragutina Tadijanovića</c:v>
                </c:pt>
                <c:pt idx="18">
                  <c:v>OŠ Antuna Bauera</c:v>
                </c:pt>
                <c:pt idx="19">
                  <c:v>OŠ Nikole Andrića</c:v>
                </c:pt>
                <c:pt idx="20">
                  <c:v>OŠ Siniše Glavaševića</c:v>
                </c:pt>
                <c:pt idx="21">
                  <c:v>OŠ Blage Zadre</c:v>
                </c:pt>
                <c:pt idx="22">
                  <c:v>OŠ Mitnica</c:v>
                </c:pt>
                <c:pt idx="23">
                  <c:v>OŠ Josipa Matoša</c:v>
                </c:pt>
              </c:strCache>
            </c:strRef>
          </c:cat>
          <c:val>
            <c:numRef>
              <c:f>'Proračunski korisnici'!$C$2:$C$25</c:f>
              <c:numCache>
                <c:formatCode>#,##0.00</c:formatCode>
                <c:ptCount val="24"/>
                <c:pt idx="0">
                  <c:v>0.53743016759776541</c:v>
                </c:pt>
                <c:pt idx="1">
                  <c:v>2.8906480446927376</c:v>
                </c:pt>
                <c:pt idx="2">
                  <c:v>2.1016759776536316</c:v>
                </c:pt>
                <c:pt idx="3">
                  <c:v>24.146145251396646</c:v>
                </c:pt>
                <c:pt idx="4">
                  <c:v>0.77900558659217878</c:v>
                </c:pt>
                <c:pt idx="5">
                  <c:v>3.2447988826815641</c:v>
                </c:pt>
                <c:pt idx="6">
                  <c:v>5.6341821229050275</c:v>
                </c:pt>
                <c:pt idx="7">
                  <c:v>0.60012067039106154</c:v>
                </c:pt>
                <c:pt idx="8">
                  <c:v>4.874078212290503E-2</c:v>
                </c:pt>
                <c:pt idx="9">
                  <c:v>34.672775418994412</c:v>
                </c:pt>
                <c:pt idx="10">
                  <c:v>0</c:v>
                </c:pt>
                <c:pt idx="11">
                  <c:v>0.58935977653631288</c:v>
                </c:pt>
                <c:pt idx="12">
                  <c:v>0.91309497206703905</c:v>
                </c:pt>
                <c:pt idx="13">
                  <c:v>0.90922234636871513</c:v>
                </c:pt>
                <c:pt idx="14">
                  <c:v>1.8894837988826816</c:v>
                </c:pt>
                <c:pt idx="15">
                  <c:v>4.606454748603352</c:v>
                </c:pt>
                <c:pt idx="16">
                  <c:v>1.7453877094972068</c:v>
                </c:pt>
                <c:pt idx="17">
                  <c:v>3.3153072625698323</c:v>
                </c:pt>
                <c:pt idx="18">
                  <c:v>2.005027932960894</c:v>
                </c:pt>
                <c:pt idx="19">
                  <c:v>1.6424581005586592</c:v>
                </c:pt>
                <c:pt idx="20">
                  <c:v>2.172395530726257</c:v>
                </c:pt>
                <c:pt idx="21">
                  <c:v>1.7374636871508378</c:v>
                </c:pt>
                <c:pt idx="22">
                  <c:v>2.0517709497206704</c:v>
                </c:pt>
                <c:pt idx="23">
                  <c:v>1.767050279329609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korisnici'!$A$2:$A$25</c15:sqref>
                        </c15:formulaRef>
                      </c:ext>
                    </c:extLst>
                    <c:strCache>
                      <c:ptCount val="24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Služba - vlastiti pogon</c:v>
                      </c:pt>
                      <c:pt idx="5">
                        <c:v>Upravni odjel za prostorno uređenje i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obrazovanje, sport i branitelje</c:v>
                      </c:pt>
                      <c:pt idx="10">
                        <c:v>Upravni odjel za društvene djelatnosti</c:v>
                      </c:pt>
                      <c:pt idx="11">
                        <c:v>Gradska knjižnica Vukovar</c:v>
                      </c:pt>
                      <c:pt idx="12">
                        <c:v>Gradski muzej Vukovar</c:v>
                      </c:pt>
                      <c:pt idx="13">
                        <c:v>Javna ustanova u kulturi - Hrvatski dom</c:v>
                      </c:pt>
                      <c:pt idx="14">
                        <c:v>Javna ustanova za upravljanje sportskim objektima</c:v>
                      </c:pt>
                      <c:pt idx="15">
                        <c:v>Dječji vrtić Vukovar 1</c:v>
                      </c:pt>
                      <c:pt idx="16">
                        <c:v>Dječji vrtić Vukovar 2</c:v>
                      </c:pt>
                      <c:pt idx="17">
                        <c:v>OŠ Dragutina Tadijanovića</c:v>
                      </c:pt>
                      <c:pt idx="18">
                        <c:v>OŠ Antuna Bauera</c:v>
                      </c:pt>
                      <c:pt idx="19">
                        <c:v>OŠ Nikole Andrića</c:v>
                      </c:pt>
                      <c:pt idx="20">
                        <c:v>OŠ Siniše Glavaševića</c:v>
                      </c:pt>
                      <c:pt idx="21">
                        <c:v>OŠ Blage Zadre</c:v>
                      </c:pt>
                      <c:pt idx="22">
                        <c:v>OŠ Mitnica</c:v>
                      </c:pt>
                      <c:pt idx="23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korisnici'!$B$2:$B$25</c15:sqref>
                        </c15:formulaRef>
                      </c:ext>
                    </c:extLst>
                    <c:numCache>
                      <c:formatCode>#,##0.00</c:formatCode>
                      <c:ptCount val="24"/>
                      <c:pt idx="0">
                        <c:v>481000</c:v>
                      </c:pt>
                      <c:pt idx="1">
                        <c:v>2587130</c:v>
                      </c:pt>
                      <c:pt idx="2">
                        <c:v>1881000</c:v>
                      </c:pt>
                      <c:pt idx="3">
                        <c:v>21610800</c:v>
                      </c:pt>
                      <c:pt idx="4">
                        <c:v>697210</c:v>
                      </c:pt>
                      <c:pt idx="5">
                        <c:v>2904095</c:v>
                      </c:pt>
                      <c:pt idx="6">
                        <c:v>5042593</c:v>
                      </c:pt>
                      <c:pt idx="7">
                        <c:v>537108</c:v>
                      </c:pt>
                      <c:pt idx="8">
                        <c:v>43623</c:v>
                      </c:pt>
                      <c:pt idx="9">
                        <c:v>31032134</c:v>
                      </c:pt>
                      <c:pt idx="10">
                        <c:v>0</c:v>
                      </c:pt>
                      <c:pt idx="11">
                        <c:v>527477</c:v>
                      </c:pt>
                      <c:pt idx="12">
                        <c:v>817220</c:v>
                      </c:pt>
                      <c:pt idx="13">
                        <c:v>813754</c:v>
                      </c:pt>
                      <c:pt idx="14">
                        <c:v>1691088</c:v>
                      </c:pt>
                      <c:pt idx="15">
                        <c:v>4122777</c:v>
                      </c:pt>
                      <c:pt idx="16">
                        <c:v>1562122</c:v>
                      </c:pt>
                      <c:pt idx="17">
                        <c:v>2967200</c:v>
                      </c:pt>
                      <c:pt idx="18">
                        <c:v>1794500</c:v>
                      </c:pt>
                      <c:pt idx="19">
                        <c:v>1470000</c:v>
                      </c:pt>
                      <c:pt idx="20">
                        <c:v>1944294</c:v>
                      </c:pt>
                      <c:pt idx="21">
                        <c:v>1555030</c:v>
                      </c:pt>
                      <c:pt idx="22">
                        <c:v>1836335</c:v>
                      </c:pt>
                      <c:pt idx="23">
                        <c:v>1581510</c:v>
                      </c:pt>
                    </c:numCache>
                  </c:numRef>
                </c:val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069713508033715E-2"/>
          <c:y val="0.63846003554488429"/>
          <c:w val="0.95324681637017594"/>
          <c:h val="0.35875075032661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21804966687E-2"/>
          <c:y val="0.14277524170238215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RASHODA'!$B$3:$B$14</c:f>
              <c:numCache>
                <c:formatCode>#,##0.00</c:formatCode>
                <c:ptCount val="12"/>
                <c:pt idx="0">
                  <c:v>1131999</c:v>
                </c:pt>
                <c:pt idx="1">
                  <c:v>2869047</c:v>
                </c:pt>
                <c:pt idx="2">
                  <c:v>2338636</c:v>
                </c:pt>
                <c:pt idx="3">
                  <c:v>613424</c:v>
                </c:pt>
                <c:pt idx="4">
                  <c:v>1991000</c:v>
                </c:pt>
                <c:pt idx="5">
                  <c:v>18326000</c:v>
                </c:pt>
                <c:pt idx="6">
                  <c:v>3105788</c:v>
                </c:pt>
                <c:pt idx="7">
                  <c:v>36779369</c:v>
                </c:pt>
                <c:pt idx="8">
                  <c:v>2121080</c:v>
                </c:pt>
                <c:pt idx="9">
                  <c:v>5684899</c:v>
                </c:pt>
                <c:pt idx="10">
                  <c:v>2174300</c:v>
                </c:pt>
                <c:pt idx="11">
                  <c:v>12364458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RASHODA'!$C$3:$C$14</c:f>
              <c:numCache>
                <c:formatCode>#,##0.00</c:formatCode>
                <c:ptCount val="12"/>
                <c:pt idx="0">
                  <c:v>1.2648033519553072</c:v>
                </c:pt>
                <c:pt idx="1">
                  <c:v>3.2056391061452514</c:v>
                </c:pt>
                <c:pt idx="2">
                  <c:v>2.6130011173184355</c:v>
                </c:pt>
                <c:pt idx="3">
                  <c:v>0.68538994413407817</c:v>
                </c:pt>
                <c:pt idx="4">
                  <c:v>2.2245810055865922</c:v>
                </c:pt>
                <c:pt idx="5">
                  <c:v>20.475977653631286</c:v>
                </c:pt>
                <c:pt idx="6">
                  <c:v>3.4701541899441342</c:v>
                </c:pt>
                <c:pt idx="7">
                  <c:v>41.09426703910615</c:v>
                </c:pt>
                <c:pt idx="8">
                  <c:v>2.3699217877094969</c:v>
                </c:pt>
                <c:pt idx="9">
                  <c:v>6.3518424581005579</c:v>
                </c:pt>
                <c:pt idx="10">
                  <c:v>2.4293854748603354</c:v>
                </c:pt>
                <c:pt idx="11">
                  <c:v>13.815036871508379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7F13-CBB1-4DCC-8E12-457BF6E0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3582</TotalTime>
  <Pages>10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128</cp:revision>
  <cp:lastPrinted>2025-02-25T11:16:00Z</cp:lastPrinted>
  <dcterms:created xsi:type="dcterms:W3CDTF">2019-10-07T11:55:00Z</dcterms:created>
  <dcterms:modified xsi:type="dcterms:W3CDTF">2025-12-19T09:46:00Z</dcterms:modified>
</cp:coreProperties>
</file>