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7B3ECE">
        <w:rPr>
          <w:rFonts w:cs="Times New Roman"/>
          <w:b/>
          <w:sz w:val="52"/>
          <w:szCs w:val="52"/>
        </w:rPr>
        <w:t>5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Pr="004508CF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</w:rPr>
      </w:pPr>
      <w:r w:rsidRPr="004508CF">
        <w:rPr>
          <w:rFonts w:cs="Times New Roman"/>
        </w:rPr>
        <w:t>Rujan 20</w:t>
      </w:r>
      <w:r w:rsidR="005A0213">
        <w:rPr>
          <w:rFonts w:cs="Times New Roman"/>
        </w:rPr>
        <w:t>2</w:t>
      </w:r>
      <w:r w:rsidR="007B3ECE">
        <w:rPr>
          <w:rFonts w:cs="Times New Roman"/>
        </w:rPr>
        <w:t>4</w:t>
      </w:r>
      <w:r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Nadalje, proračun se sastoji od općeg i posebnog dijela te </w:t>
      </w:r>
      <w:r w:rsidR="007B3ECE">
        <w:rPr>
          <w:rFonts w:cs="Times New Roman"/>
        </w:rPr>
        <w:t>obrazloženja</w:t>
      </w:r>
      <w:r w:rsidRPr="004508CF">
        <w:rPr>
          <w:rFonts w:cs="Times New Roman"/>
        </w:rPr>
        <w:t>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7B3ECE" w:rsidP="00CF40C2">
      <w:pPr>
        <w:jc w:val="both"/>
        <w:rPr>
          <w:rFonts w:cs="Times New Roman"/>
        </w:rPr>
      </w:pPr>
      <w:r>
        <w:rPr>
          <w:rFonts w:cs="Times New Roman"/>
        </w:rPr>
        <w:t>Obrazloženje proračuna sastoji se od obrazloženja općeg dijela proračuna i obrazloženja posebnog dijela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7B3ECE">
        <w:rPr>
          <w:rFonts w:cs="Times New Roman"/>
        </w:rPr>
        <w:t>5</w:t>
      </w:r>
      <w:r w:rsidRPr="00DF2E00">
        <w:rPr>
          <w:rFonts w:cs="Times New Roman"/>
        </w:rPr>
        <w:t xml:space="preserve">. godinu planirani su u iznosu od </w:t>
      </w:r>
      <w:r w:rsidR="007B3ECE">
        <w:rPr>
          <w:rFonts w:cs="Times New Roman"/>
        </w:rPr>
        <w:t>79.590.474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7B3ECE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7B3ECE">
              <w:rPr>
                <w:rFonts w:cs="Times New Roman"/>
                <w:b/>
              </w:rPr>
              <w:t>5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7B3ECE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78.176.474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7B3ECE" w:rsidP="0068736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6.120</w:t>
            </w:r>
            <w:r w:rsidR="004066E1">
              <w:rPr>
                <w:rFonts w:cs="Times New Roman"/>
              </w:rPr>
              <w:t>.000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A24947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66.23</w:t>
            </w:r>
            <w:r w:rsidR="000B4B3A">
              <w:rPr>
                <w:rFonts w:cs="Times New Roman"/>
              </w:rPr>
              <w:t>5</w:t>
            </w:r>
            <w:r>
              <w:rPr>
                <w:rFonts w:cs="Times New Roman"/>
              </w:rPr>
              <w:t>.463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7B3ECE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2.09</w:t>
            </w:r>
            <w:r w:rsidR="000B4B3A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  <w:r w:rsidR="000B4B3A">
              <w:rPr>
                <w:rFonts w:cs="Times New Roman"/>
              </w:rPr>
              <w:t>2</w:t>
            </w:r>
            <w:r>
              <w:rPr>
                <w:rFonts w:cs="Times New Roman"/>
              </w:rPr>
              <w:t>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0B4B3A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B3ECE">
              <w:rPr>
                <w:rFonts w:cs="Times New Roman"/>
              </w:rPr>
              <w:t>.7</w:t>
            </w:r>
            <w:r>
              <w:rPr>
                <w:rFonts w:cs="Times New Roman"/>
              </w:rPr>
              <w:t>81</w:t>
            </w:r>
            <w:r w:rsidR="007B3ECE">
              <w:rPr>
                <w:rFonts w:cs="Times New Roman"/>
              </w:rPr>
              <w:t>.</w:t>
            </w:r>
            <w:r>
              <w:rPr>
                <w:rFonts w:cs="Times New Roman"/>
              </w:rPr>
              <w:t>501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0B4B3A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792.300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0B4B3A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  <w:r w:rsidR="004066E1">
              <w:rPr>
                <w:rFonts w:cs="Times New Roman"/>
              </w:rPr>
              <w:t>.0</w:t>
            </w:r>
            <w:r>
              <w:rPr>
                <w:rFonts w:cs="Times New Roman"/>
              </w:rPr>
              <w:t>1</w:t>
            </w:r>
            <w:r w:rsidR="004066E1">
              <w:rPr>
                <w:rFonts w:cs="Times New Roman"/>
              </w:rPr>
              <w:t>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7B3ECE" w:rsidP="004066E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1.319.000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7B3ECE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451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066E1" w:rsidP="007B3EC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7B3ECE">
              <w:rPr>
                <w:rFonts w:cs="Times New Roman"/>
              </w:rPr>
              <w:t>68</w:t>
            </w:r>
            <w:r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7B3ECE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  <w:r w:rsidR="004066E1">
              <w:rPr>
                <w:rFonts w:cs="Times New Roman"/>
                <w:b/>
              </w:rPr>
              <w:t>5.000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7B3ECE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79.590.474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obnova hortikulture, nabava solarnih elektrana, uvođenje obnovljivih izvora energije u objekte u vlasništvu Grada, pametni parking)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</w:t>
      </w:r>
      <w:r w:rsidR="00DB069B">
        <w:rPr>
          <w:rFonts w:cs="Times New Roman"/>
        </w:rPr>
        <w:t xml:space="preserve"> ITU programa (rekonstrukcija Grand hotela, crvenog </w:t>
      </w:r>
      <w:proofErr w:type="spellStart"/>
      <w:r w:rsidR="00DB069B">
        <w:rPr>
          <w:rFonts w:cs="Times New Roman"/>
        </w:rPr>
        <w:t>magacina</w:t>
      </w:r>
      <w:proofErr w:type="spellEnd"/>
      <w:r w:rsidR="00DB069B">
        <w:rPr>
          <w:rFonts w:cs="Times New Roman"/>
        </w:rPr>
        <w:t>, izgradnja zatvorenih teniskih terena)</w:t>
      </w:r>
      <w:r w:rsidR="002C0B1C">
        <w:rPr>
          <w:rFonts w:cs="Times New Roman"/>
        </w:rPr>
        <w:t>,</w:t>
      </w:r>
      <w:r w:rsidR="006A54DB">
        <w:rPr>
          <w:rFonts w:cs="Times New Roman"/>
        </w:rPr>
        <w:t xml:space="preserve"> </w:t>
      </w:r>
      <w:r w:rsidR="00DB069B">
        <w:rPr>
          <w:rFonts w:cs="Times New Roman"/>
        </w:rPr>
        <w:t xml:space="preserve">projekte kandidirane na program Nacionalni plan oporavka i otpornosti (ulaganja u proširenje objekata dječjih vrtića i obnove zgrada osnovnih škola), </w:t>
      </w:r>
      <w:r w:rsidR="006A54DB">
        <w:rPr>
          <w:rFonts w:cs="Times New Roman"/>
        </w:rPr>
        <w:t>projekte UO za gospodarstvo:</w:t>
      </w:r>
      <w:r w:rsidR="00DB069B">
        <w:rPr>
          <w:rFonts w:cs="Times New Roman"/>
        </w:rPr>
        <w:t xml:space="preserve"> izgradnja </w:t>
      </w:r>
      <w:proofErr w:type="spellStart"/>
      <w:r w:rsidR="00DB069B">
        <w:rPr>
          <w:rFonts w:cs="Times New Roman"/>
        </w:rPr>
        <w:t>obaloutvrde</w:t>
      </w:r>
      <w:proofErr w:type="spellEnd"/>
      <w:r w:rsidR="00DB069B">
        <w:rPr>
          <w:rFonts w:cs="Times New Roman"/>
        </w:rPr>
        <w:t xml:space="preserve"> i sl.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</w:t>
      </w:r>
      <w:r w:rsidR="00DB069B">
        <w:rPr>
          <w:rFonts w:cs="Times New Roman"/>
        </w:rPr>
        <w:t>2,5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DB069B">
        <w:rPr>
          <w:rFonts w:cs="Times New Roman"/>
        </w:rPr>
        <w:t>preko</w:t>
      </w:r>
      <w:r w:rsidR="002C0B1C">
        <w:rPr>
          <w:rFonts w:cs="Times New Roman"/>
        </w:rPr>
        <w:t xml:space="preserve"> </w:t>
      </w:r>
      <w:r w:rsidR="00DB069B">
        <w:rPr>
          <w:rFonts w:cs="Times New Roman"/>
        </w:rPr>
        <w:t>5,3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DB069B">
        <w:rPr>
          <w:rFonts w:cs="Times New Roman"/>
        </w:rPr>
        <w:t>87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2C0B1C">
        <w:rPr>
          <w:rFonts w:cs="Times New Roman"/>
        </w:rPr>
        <w:t>7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612BFA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612BFA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612BFA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30640E">
        <w:t>5</w:t>
      </w:r>
      <w:r w:rsidRPr="004508CF">
        <w:t>.g.</w:t>
      </w:r>
    </w:p>
    <w:p w:rsidR="004D0C62" w:rsidRPr="004508CF" w:rsidRDefault="002F2C3A" w:rsidP="00E63A34">
      <w:bookmarkStart w:id="0" w:name="_GoBack"/>
      <w:r>
        <w:rPr>
          <w:noProof/>
          <w:lang w:eastAsia="hr-HR"/>
        </w:rPr>
        <w:drawing>
          <wp:inline distT="0" distB="0" distL="0" distR="0" wp14:anchorId="3A48E84B" wp14:editId="63567B9E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DB069B">
        <w:rPr>
          <w:rFonts w:cs="Times New Roman"/>
        </w:rPr>
        <w:t>5</w:t>
      </w:r>
      <w:r w:rsidRPr="004508CF">
        <w:rPr>
          <w:rFonts w:cs="Times New Roman"/>
        </w:rPr>
        <w:t xml:space="preserve">.g. iznose </w:t>
      </w:r>
      <w:r w:rsidR="00DB069B">
        <w:rPr>
          <w:rFonts w:cs="Times New Roman"/>
        </w:rPr>
        <w:t>84.490.000</w:t>
      </w:r>
      <w:r w:rsidR="00C83129">
        <w:rPr>
          <w:rFonts w:cs="Times New Roman"/>
        </w:rPr>
        <w:t>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DB069B">
        <w:rPr>
          <w:rFonts w:cs="Times New Roman"/>
        </w:rPr>
        <w:t>5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24012B">
        <w:t>5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24012B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2025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DB1FEB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45.744.740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DB1FEB" w:rsidP="00C875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21.213.087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18.714.445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130.538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857.723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DB1FEB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1.640.900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3.188.047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38.665.260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DB1FEB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991.720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DB1F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25.656.440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5F538D" w:rsidP="00DB1F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DB1FEB">
              <w:rPr>
                <w:rFonts w:cs="Times New Roman"/>
              </w:rPr>
              <w:t>0</w:t>
            </w:r>
            <w:r>
              <w:rPr>
                <w:rFonts w:cs="Times New Roman"/>
              </w:rPr>
              <w:t>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12.016.500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DB1FEB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80.000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DB1FEB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84.490</w:t>
            </w:r>
            <w:r w:rsidR="005F538D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Default="005F538D" w:rsidP="005F538D">
      <w:pPr>
        <w:spacing w:after="0" w:line="240" w:lineRule="auto"/>
        <w:jc w:val="both"/>
      </w:pPr>
      <w:r w:rsidRPr="00DA63C4">
        <w:rPr>
          <w:rFonts w:eastAsia="Times New Roman" w:cs="Times New Roman"/>
          <w:lang w:eastAsia="hr-HR"/>
        </w:rPr>
        <w:t>Rashodi za zaposlene (</w:t>
      </w:r>
      <w:r w:rsidR="008C0C44">
        <w:rPr>
          <w:rFonts w:eastAsia="Times New Roman" w:cs="Times New Roman"/>
          <w:lang w:eastAsia="hr-HR"/>
        </w:rPr>
        <w:t>21.213.087</w:t>
      </w:r>
      <w:r w:rsidRPr="00DA63C4">
        <w:rPr>
          <w:rFonts w:eastAsia="Times New Roman" w:cs="Times New Roman"/>
          <w:lang w:eastAsia="hr-HR"/>
        </w:rPr>
        <w:t xml:space="preserve"> €) su plaće, doprinosi i ostali rashodi za zaposlene, uključujući i rashode za zaposlene u proračunskim korisnicima, za zaposlene u javnim radovima, kao i za zaposlene na projektima koji se finan</w:t>
      </w:r>
      <w:r w:rsidRPr="00DA63C4">
        <w:t xml:space="preserve">ciraju iz sredstava EU. Od ukupnih planiranih rashoda za zaposlene </w:t>
      </w:r>
      <w:r w:rsidR="00DA63C4" w:rsidRPr="00DA63C4">
        <w:t>2.285.300</w:t>
      </w:r>
      <w:r w:rsidRPr="00DA63C4">
        <w:t xml:space="preserve">,00 € se odnosi na zaposlene u upravnim tijelima Grada Vukovara,  </w:t>
      </w:r>
      <w:r w:rsidR="00DA63C4" w:rsidRPr="00DA63C4">
        <w:t>10.401.126</w:t>
      </w:r>
      <w:r w:rsidRPr="00DA63C4">
        <w:t xml:space="preserve"> € na zaposlene u osnovnim školama, </w:t>
      </w:r>
      <w:r w:rsidR="00DA63C4" w:rsidRPr="00DA63C4">
        <w:t>6.710.858</w:t>
      </w:r>
      <w:r w:rsidRPr="00DA63C4">
        <w:t xml:space="preserve">,00 € na zaposlene u ostalim proračunskim korisnicima, dok se iznos </w:t>
      </w:r>
      <w:r w:rsidR="0042585F" w:rsidRPr="00DA63C4">
        <w:t xml:space="preserve">od </w:t>
      </w:r>
      <w:r w:rsidR="00DA63C4" w:rsidRPr="00DA63C4">
        <w:t xml:space="preserve">681.800 </w:t>
      </w:r>
      <w:r w:rsidRPr="00DA63C4">
        <w:t>€ odnosi na zaposlene preko projekata (javni radovi, Pokloni mi osmjeh</w:t>
      </w:r>
      <w:r w:rsidR="00DA63C4" w:rsidRPr="00DA63C4">
        <w:t>, pomoćnici u nastavi</w:t>
      </w:r>
      <w:r w:rsidRPr="00DA63C4">
        <w:t xml:space="preserve">). </w:t>
      </w:r>
      <w:r w:rsidR="0042585F" w:rsidRPr="00DA63C4">
        <w:t>Preostali iznos (</w:t>
      </w:r>
      <w:r w:rsidR="008C0C44">
        <w:t>1.131.003</w:t>
      </w:r>
      <w:r w:rsidR="0042585F" w:rsidRPr="00DA63C4">
        <w:t xml:space="preserve"> €) planiran je za materijalna prava zaposlenih.</w:t>
      </w:r>
    </w:p>
    <w:p w:rsidR="00DA63C4" w:rsidRPr="00DA63C4" w:rsidRDefault="00DA63C4" w:rsidP="005F538D">
      <w:pPr>
        <w:spacing w:after="0" w:line="240" w:lineRule="auto"/>
        <w:jc w:val="both"/>
      </w:pPr>
    </w:p>
    <w:p w:rsidR="00C8754B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A63C4">
        <w:rPr>
          <w:rFonts w:eastAsia="Times New Roman" w:cs="Times New Roman"/>
          <w:lang w:eastAsia="hr-HR"/>
        </w:rPr>
        <w:t>Materijalni rashodi (</w:t>
      </w:r>
      <w:r w:rsidR="00DA63C4" w:rsidRPr="00DA63C4">
        <w:rPr>
          <w:rFonts w:eastAsia="Times New Roman" w:cs="Times New Roman"/>
          <w:lang w:eastAsia="hr-HR"/>
        </w:rPr>
        <w:t>18.7</w:t>
      </w:r>
      <w:r w:rsidR="00296B0A">
        <w:rPr>
          <w:rFonts w:eastAsia="Times New Roman" w:cs="Times New Roman"/>
          <w:lang w:eastAsia="hr-HR"/>
        </w:rPr>
        <w:t>1</w:t>
      </w:r>
      <w:r w:rsidR="00DA63C4" w:rsidRPr="00DA63C4">
        <w:rPr>
          <w:rFonts w:eastAsia="Times New Roman" w:cs="Times New Roman"/>
          <w:lang w:eastAsia="hr-HR"/>
        </w:rPr>
        <w:t>4.445</w:t>
      </w:r>
      <w:r w:rsidR="002154A2" w:rsidRPr="00DA63C4">
        <w:rPr>
          <w:rFonts w:eastAsia="Times New Roman" w:cs="Times New Roman"/>
          <w:lang w:eastAsia="hr-HR"/>
        </w:rPr>
        <w:t>,00</w:t>
      </w:r>
      <w:r w:rsidRPr="00DA63C4">
        <w:rPr>
          <w:rFonts w:eastAsia="Times New Roman" w:cs="Times New Roman"/>
          <w:lang w:eastAsia="hr-HR"/>
        </w:rPr>
        <w:t xml:space="preserve"> </w:t>
      </w:r>
      <w:r w:rsidR="00F76B80" w:rsidRPr="00DA63C4">
        <w:rPr>
          <w:rFonts w:eastAsia="Times New Roman" w:cs="Times New Roman"/>
          <w:lang w:eastAsia="hr-HR"/>
        </w:rPr>
        <w:t>€</w:t>
      </w:r>
      <w:r w:rsidRPr="00DA63C4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 w:rsidRPr="00DA63C4">
        <w:rPr>
          <w:rFonts w:eastAsia="Times New Roman" w:cs="Times New Roman"/>
          <w:lang w:eastAsia="hr-HR"/>
        </w:rPr>
        <w:t xml:space="preserve"> i nogostupa, vodoopskrbnih cjevovoda i sl.</w:t>
      </w:r>
      <w:r w:rsidRPr="00DA63C4">
        <w:rPr>
          <w:rFonts w:eastAsia="Times New Roman" w:cs="Times New Roman"/>
          <w:lang w:eastAsia="hr-HR"/>
        </w:rPr>
        <w:t>) i objekata gradske uprave i gradskih proračunskih korisnika, ali i na uredski materijal, energiju i usluge (primjerice, telefona, pošte, prijevoza, informiranja) neophodne za funkcioniranje gradskih upravnih tijela i proračunskih korisnika</w:t>
      </w:r>
      <w:r w:rsidRPr="004508CF">
        <w:rPr>
          <w:rFonts w:eastAsia="Times New Roman" w:cs="Times New Roman"/>
          <w:lang w:eastAsia="hr-HR"/>
        </w:rPr>
        <w:t xml:space="preserve"> proračuna Grada. </w:t>
      </w:r>
    </w:p>
    <w:p w:rsidR="00DA63C4" w:rsidRPr="004508CF" w:rsidRDefault="00DA63C4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30640E">
        <w:t>5</w:t>
      </w:r>
      <w:r w:rsidRPr="004508CF">
        <w:t>.g.</w:t>
      </w:r>
    </w:p>
    <w:p w:rsidR="00686F06" w:rsidRDefault="0042585F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0A93CBBD" wp14:editId="7FB30333">
            <wp:extent cx="5760720" cy="4116705"/>
            <wp:effectExtent l="0" t="0" r="11430" b="1714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296B0A">
        <w:t xml:space="preserve">38.665.260,00 </w:t>
      </w:r>
      <w:r w:rsidR="004026AD">
        <w:t>€</w:t>
      </w:r>
      <w:r w:rsidRPr="004508CF">
        <w:t>) među kojima su najznačajniji izgradnja ili rekonstrukcija građevinskih objekata (npr.</w:t>
      </w:r>
      <w:r w:rsidR="00296B0A">
        <w:t xml:space="preserve">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</w:t>
      </w:r>
      <w:r w:rsidR="005F538D">
        <w:t xml:space="preserve"> (Hotel Grand, crveni </w:t>
      </w:r>
      <w:proofErr w:type="spellStart"/>
      <w:r w:rsidR="005F538D">
        <w:t>magacin</w:t>
      </w:r>
      <w:proofErr w:type="spellEnd"/>
      <w:r w:rsidR="00296B0A">
        <w:t>, zgrada Turističke zajednice</w:t>
      </w:r>
      <w:r w:rsidR="005F538D">
        <w:t>)</w:t>
      </w:r>
      <w:r w:rsidR="00296B0A">
        <w:t xml:space="preserve"> i sl.)</w:t>
      </w:r>
      <w:r w:rsidR="00927477" w:rsidRPr="004508CF">
        <w:t>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</w:t>
      </w:r>
      <w:r w:rsidR="00296B0A">
        <w:rPr>
          <w:rFonts w:eastAsia="Times New Roman" w:cs="Times New Roman"/>
          <w:color w:val="000000"/>
          <w:lang w:eastAsia="hr-HR"/>
        </w:rPr>
        <w:t>2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431FB5">
        <w:rPr>
          <w:rFonts w:eastAsia="Times New Roman" w:cs="Times New Roman"/>
          <w:color w:val="000000"/>
          <w:lang w:eastAsia="hr-HR"/>
        </w:rPr>
        <w:t xml:space="preserve">, </w:t>
      </w:r>
      <w:r w:rsidR="00431FB5">
        <w:t>U</w:t>
      </w:r>
      <w:r w:rsidR="00431FB5" w:rsidRPr="004508CF">
        <w:t>red gradonačelnika</w:t>
      </w:r>
      <w:r w:rsidRPr="004508CF">
        <w:rPr>
          <w:rFonts w:eastAsia="Times New Roman" w:cs="Times New Roman"/>
          <w:color w:val="000000"/>
          <w:lang w:eastAsia="hr-HR"/>
        </w:rPr>
        <w:t xml:space="preserve"> 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296B0A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5541D244" wp14:editId="4FB1A12C">
            <wp:extent cx="5760720" cy="3715385"/>
            <wp:effectExtent l="0" t="0" r="11430" b="1841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296B0A">
        <w:rPr>
          <w:rFonts w:eastAsia="Times New Roman" w:cs="Times New Roman"/>
          <w:color w:val="000000"/>
          <w:lang w:eastAsia="hr-HR"/>
        </w:rPr>
        <w:t>53,58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i branitelje </w:t>
      </w:r>
      <w:r w:rsidR="00296B0A">
        <w:rPr>
          <w:rFonts w:eastAsia="Times New Roman" w:cs="Times New Roman"/>
          <w:color w:val="000000"/>
          <w:lang w:eastAsia="hr-HR"/>
        </w:rPr>
        <w:t>29,81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296B0A">
        <w:rPr>
          <w:rFonts w:eastAsia="Times New Roman" w:cs="Times New Roman"/>
          <w:color w:val="000000"/>
          <w:lang w:eastAsia="hr-HR"/>
        </w:rPr>
        <w:t>23,77%</w:t>
      </w:r>
      <w:r w:rsidR="004026AD" w:rsidRPr="001056F4">
        <w:rPr>
          <w:rFonts w:eastAsia="Times New Roman" w:cs="Times New Roman"/>
          <w:color w:val="000000"/>
          <w:lang w:eastAsia="hr-HR"/>
        </w:rPr>
        <w:t>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3004CE">
        <w:rPr>
          <w:rFonts w:eastAsia="Times New Roman" w:cs="Times New Roman"/>
          <w:color w:val="000000"/>
          <w:lang w:eastAsia="hr-HR"/>
        </w:rPr>
        <w:t>2</w:t>
      </w:r>
      <w:r w:rsidR="00296B0A">
        <w:rPr>
          <w:rFonts w:eastAsia="Times New Roman" w:cs="Times New Roman"/>
          <w:color w:val="000000"/>
          <w:lang w:eastAsia="hr-HR"/>
        </w:rPr>
        <w:t>4,40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>javne namjene</w:t>
      </w:r>
      <w:r w:rsidR="001056F4" w:rsidRPr="004508CF">
        <w:rPr>
          <w:rFonts w:cs="Times New Roman"/>
        </w:rPr>
        <w:t xml:space="preserve">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296B0A">
        <w:rPr>
          <w:rFonts w:eastAsia="Times New Roman" w:cs="Times New Roman"/>
          <w:color w:val="000000"/>
          <w:lang w:eastAsia="hr-HR"/>
        </w:rPr>
        <w:t>2,55%</w:t>
      </w:r>
      <w:r>
        <w:rPr>
          <w:rFonts w:eastAsia="Times New Roman" w:cs="Times New Roman"/>
          <w:color w:val="000000"/>
          <w:lang w:eastAsia="hr-HR"/>
        </w:rPr>
        <w:t xml:space="preserve">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</w:t>
      </w:r>
      <w:r w:rsidR="00296B0A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EC414D">
        <w:rPr>
          <w:rFonts w:eastAsia="Times New Roman" w:cs="Times New Roman"/>
          <w:color w:val="000000"/>
          <w:lang w:eastAsia="hr-HR"/>
        </w:rPr>
        <w:t>1,7</w:t>
      </w:r>
      <w:r w:rsidR="00296B0A">
        <w:rPr>
          <w:rFonts w:eastAsia="Times New Roman" w:cs="Times New Roman"/>
          <w:color w:val="000000"/>
          <w:lang w:eastAsia="hr-HR"/>
        </w:rPr>
        <w:t>4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296B0A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D9312D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305679BF" wp14:editId="58FB88AA">
            <wp:extent cx="6038850" cy="8677275"/>
            <wp:effectExtent l="0" t="0" r="0" b="952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D9312D">
        <w:rPr>
          <w:rFonts w:eastAsia="Times New Roman" w:cs="Times New Roman"/>
          <w:color w:val="000000"/>
          <w:lang w:eastAsia="hr-HR"/>
        </w:rPr>
        <w:t>5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7E37F7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6424A5F9" wp14:editId="2335A39B">
            <wp:extent cx="5760720" cy="3762375"/>
            <wp:effectExtent l="0" t="0" r="1143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D9312D">
        <w:rPr>
          <w:rFonts w:cs="Times New Roman"/>
        </w:rPr>
        <w:t>5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D9312D">
        <w:rPr>
          <w:rFonts w:cs="Times New Roman"/>
        </w:rPr>
        <w:t>6</w:t>
      </w:r>
      <w:r w:rsidRPr="004508CF">
        <w:rPr>
          <w:rFonts w:cs="Times New Roman"/>
        </w:rPr>
        <w:t>. i 202</w:t>
      </w:r>
      <w:r w:rsidR="00D9312D">
        <w:rPr>
          <w:rFonts w:cs="Times New Roman"/>
        </w:rPr>
        <w:t>7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D9312D">
        <w:rPr>
          <w:rFonts w:cs="Times New Roman"/>
          <w:b/>
        </w:rPr>
        <w:t>12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D9312D">
        <w:rPr>
          <w:rFonts w:cs="Times New Roman"/>
          <w:b/>
        </w:rPr>
        <w:t>4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671B7"/>
    <w:rsid w:val="000B4B3A"/>
    <w:rsid w:val="000C7C52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741A5"/>
    <w:rsid w:val="00183A5D"/>
    <w:rsid w:val="00195BAF"/>
    <w:rsid w:val="001C0477"/>
    <w:rsid w:val="00202EFA"/>
    <w:rsid w:val="002154A2"/>
    <w:rsid w:val="00230516"/>
    <w:rsid w:val="00233AB9"/>
    <w:rsid w:val="00234ED4"/>
    <w:rsid w:val="0024012B"/>
    <w:rsid w:val="0024384F"/>
    <w:rsid w:val="00245170"/>
    <w:rsid w:val="00250ADD"/>
    <w:rsid w:val="002717EE"/>
    <w:rsid w:val="00296B0A"/>
    <w:rsid w:val="002B1A26"/>
    <w:rsid w:val="002C0B1C"/>
    <w:rsid w:val="002C4A72"/>
    <w:rsid w:val="002D25EB"/>
    <w:rsid w:val="002F2C3A"/>
    <w:rsid w:val="003004CE"/>
    <w:rsid w:val="00300B52"/>
    <w:rsid w:val="0030640E"/>
    <w:rsid w:val="00306F55"/>
    <w:rsid w:val="00307192"/>
    <w:rsid w:val="00317EE9"/>
    <w:rsid w:val="00332300"/>
    <w:rsid w:val="00345C0F"/>
    <w:rsid w:val="00345CD8"/>
    <w:rsid w:val="00356C55"/>
    <w:rsid w:val="003571CF"/>
    <w:rsid w:val="004026AD"/>
    <w:rsid w:val="004066E1"/>
    <w:rsid w:val="0041058E"/>
    <w:rsid w:val="0042585F"/>
    <w:rsid w:val="00431FB5"/>
    <w:rsid w:val="004412C7"/>
    <w:rsid w:val="004508CF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57721"/>
    <w:rsid w:val="00561095"/>
    <w:rsid w:val="00563BA1"/>
    <w:rsid w:val="005668BD"/>
    <w:rsid w:val="00570126"/>
    <w:rsid w:val="00585174"/>
    <w:rsid w:val="005A0213"/>
    <w:rsid w:val="005A2C22"/>
    <w:rsid w:val="005B36CF"/>
    <w:rsid w:val="005E0576"/>
    <w:rsid w:val="005F538D"/>
    <w:rsid w:val="00612859"/>
    <w:rsid w:val="00612BFA"/>
    <w:rsid w:val="00615BB1"/>
    <w:rsid w:val="00617DF8"/>
    <w:rsid w:val="00621D99"/>
    <w:rsid w:val="00641972"/>
    <w:rsid w:val="006442F4"/>
    <w:rsid w:val="00675BBE"/>
    <w:rsid w:val="0068068B"/>
    <w:rsid w:val="00686F06"/>
    <w:rsid w:val="00687361"/>
    <w:rsid w:val="006A54DB"/>
    <w:rsid w:val="006A796F"/>
    <w:rsid w:val="006B19F1"/>
    <w:rsid w:val="006B24D0"/>
    <w:rsid w:val="006B70F4"/>
    <w:rsid w:val="006E4387"/>
    <w:rsid w:val="006F5405"/>
    <w:rsid w:val="00705CF4"/>
    <w:rsid w:val="00713E35"/>
    <w:rsid w:val="00751435"/>
    <w:rsid w:val="00752A9F"/>
    <w:rsid w:val="00772B47"/>
    <w:rsid w:val="007834B9"/>
    <w:rsid w:val="00790A8D"/>
    <w:rsid w:val="007B3ECE"/>
    <w:rsid w:val="007C77BD"/>
    <w:rsid w:val="007E37F7"/>
    <w:rsid w:val="00806861"/>
    <w:rsid w:val="00813845"/>
    <w:rsid w:val="00814272"/>
    <w:rsid w:val="00852C5F"/>
    <w:rsid w:val="00872B87"/>
    <w:rsid w:val="00881AE0"/>
    <w:rsid w:val="008C0C44"/>
    <w:rsid w:val="008C3FE3"/>
    <w:rsid w:val="008C3FEB"/>
    <w:rsid w:val="008D4077"/>
    <w:rsid w:val="00903B44"/>
    <w:rsid w:val="00911055"/>
    <w:rsid w:val="00911C58"/>
    <w:rsid w:val="00927477"/>
    <w:rsid w:val="009E4ED1"/>
    <w:rsid w:val="00A00301"/>
    <w:rsid w:val="00A1149A"/>
    <w:rsid w:val="00A24947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80E8D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13BD"/>
    <w:rsid w:val="00CF40C2"/>
    <w:rsid w:val="00D2288F"/>
    <w:rsid w:val="00D2674C"/>
    <w:rsid w:val="00D50093"/>
    <w:rsid w:val="00D9312D"/>
    <w:rsid w:val="00DA490C"/>
    <w:rsid w:val="00DA63C4"/>
    <w:rsid w:val="00DB069B"/>
    <w:rsid w:val="00DB1FEB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C414D"/>
    <w:rsid w:val="00ED2DE2"/>
    <w:rsid w:val="00EE21C3"/>
    <w:rsid w:val="00F00896"/>
    <w:rsid w:val="00F021CD"/>
    <w:rsid w:val="00F0298A"/>
    <w:rsid w:val="00F139F6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Prora&#269;un\1-Prora&#269;un%20z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Prora&#269;un%20za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5\Vodi&#269;%20kroz%20prora&#269;un\Prora&#269;un\2-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Prora&#269;un\2-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5\Vodi&#269;%20kroz%20prora&#269;un\Prora&#269;un\2-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7.689362422945238</c:v>
                </c:pt>
                <c:pt idx="1">
                  <c:v>83.220339911532619</c:v>
                </c:pt>
                <c:pt idx="2">
                  <c:v>2.6349887048040448</c:v>
                </c:pt>
                <c:pt idx="3">
                  <c:v>3.494766220389641</c:v>
                </c:pt>
                <c:pt idx="4">
                  <c:v>0.99547089014697909</c:v>
                </c:pt>
                <c:pt idx="5">
                  <c:v>0.1884773295859502</c:v>
                </c:pt>
                <c:pt idx="6">
                  <c:v>0.56665072757325208</c:v>
                </c:pt>
                <c:pt idx="7">
                  <c:v>1.0905827750190307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1110488"/>
        <c:axId val="501109704"/>
      </c:barChart>
      <c:valAx>
        <c:axId val="501109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1110488"/>
        <c:crosses val="autoZero"/>
        <c:crossBetween val="between"/>
      </c:valAx>
      <c:catAx>
        <c:axId val="501110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011097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19.091232573850029</c:v>
                </c:pt>
                <c:pt idx="1">
                  <c:v>19.886734631210466</c:v>
                </c:pt>
                <c:pt idx="2">
                  <c:v>0.13130995516796659</c:v>
                </c:pt>
                <c:pt idx="3">
                  <c:v>0.92700730823558308</c:v>
                </c:pt>
                <c:pt idx="4">
                  <c:v>0</c:v>
                </c:pt>
                <c:pt idx="5">
                  <c:v>1.8981710986918872</c:v>
                </c:pt>
                <c:pt idx="6">
                  <c:v>3.7269274703678681</c:v>
                </c:pt>
                <c:pt idx="7">
                  <c:v>1.0710557022661671</c:v>
                </c:pt>
                <c:pt idx="8">
                  <c:v>39.553215009519135</c:v>
                </c:pt>
                <c:pt idx="9">
                  <c:v>8.4750967266474246E-4</c:v>
                </c:pt>
                <c:pt idx="10">
                  <c:v>13.32960756617331</c:v>
                </c:pt>
                <c:pt idx="11">
                  <c:v>0.38389117484493029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1018697392638939"/>
          <c:y val="7.6965426226036941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KLASIFIKACIJA'!$A$4:$A$12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KLASIFIKACIJA'!$C$4:$C$12</c:f>
              <c:numCache>
                <c:formatCode>#,##0.00</c:formatCode>
                <c:ptCount val="9"/>
                <c:pt idx="0">
                  <c:v>4.4711220262752986</c:v>
                </c:pt>
                <c:pt idx="1">
                  <c:v>24.400284057284885</c:v>
                </c:pt>
                <c:pt idx="2">
                  <c:v>0.70653331755237314</c:v>
                </c:pt>
                <c:pt idx="3">
                  <c:v>3.865149721860575</c:v>
                </c:pt>
                <c:pt idx="4">
                  <c:v>3.9607669546691917</c:v>
                </c:pt>
                <c:pt idx="5">
                  <c:v>0.63570600071014316</c:v>
                </c:pt>
                <c:pt idx="6">
                  <c:v>4.9510001183572017E-2</c:v>
                </c:pt>
                <c:pt idx="7">
                  <c:v>53.577057639957395</c:v>
                </c:pt>
                <c:pt idx="8">
                  <c:v>8.2391845188779733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KLASIFIKACIJA'!$A$4:$A$12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KLASIFIKACIJA'!$A$4:$A$11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1.020566873585246E-2"/>
          <c:y val="0.54008427121280833"/>
          <c:w val="0.61780263578163841"/>
          <c:h val="0.4573943211807121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2.1559071677554498E-2"/>
          <c:y val="2.7964770045895745E-2"/>
          <c:w val="0.96371958237081567"/>
          <c:h val="0.67068958860932726"/>
        </c:manualLayout>
      </c:layout>
      <c:doughnut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korisnici'!$A$2:$A$25</c:f>
              <c:strCache>
                <c:ptCount val="24"/>
                <c:pt idx="0">
                  <c:v>Izdaci za financijsku imovinu i otplate zajmova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Upravni odjel za komunalno gospodarstvo i graditeljstvo</c:v>
                </c:pt>
                <c:pt idx="4">
                  <c:v>Služba - vlastiti pogon</c:v>
                </c:pt>
                <c:pt idx="5">
                  <c:v>Upravni odjel za prostorno uređenje i imovinu</c:v>
                </c:pt>
                <c:pt idx="6">
                  <c:v>Upravni odjel za gospodarstvo</c:v>
                </c:pt>
                <c:pt idx="7">
                  <c:v>Upravni odjel za financije i nabavu</c:v>
                </c:pt>
                <c:pt idx="8">
                  <c:v>Služba za unutarnju reviziju</c:v>
                </c:pt>
                <c:pt idx="9">
                  <c:v>Upravni odjel za obrazovanje, sport i branitelje</c:v>
                </c:pt>
                <c:pt idx="10">
                  <c:v>Upravni odjel za društvene djelatnosti</c:v>
                </c:pt>
                <c:pt idx="11">
                  <c:v>Gradska knjižnica Vukovar</c:v>
                </c:pt>
                <c:pt idx="12">
                  <c:v>Gradski muzej Vukovar</c:v>
                </c:pt>
                <c:pt idx="13">
                  <c:v>Javna ustanova u kulturi - Hrvatski dom</c:v>
                </c:pt>
                <c:pt idx="14">
                  <c:v>Javna ustanova za upravljanje sportskim objektima</c:v>
                </c:pt>
                <c:pt idx="15">
                  <c:v>Dječji vrtić Vukovar 1</c:v>
                </c:pt>
                <c:pt idx="16">
                  <c:v>Dječji vrtić Vukovar 2</c:v>
                </c:pt>
                <c:pt idx="17">
                  <c:v>OŠ Dragutina Tadijanovića</c:v>
                </c:pt>
                <c:pt idx="18">
                  <c:v>OŠ Antuna Bauera</c:v>
                </c:pt>
                <c:pt idx="19">
                  <c:v>OŠ Nikole Andrića</c:v>
                </c:pt>
                <c:pt idx="20">
                  <c:v>OŠ Siniše Glavaševića</c:v>
                </c:pt>
                <c:pt idx="21">
                  <c:v>OŠ Blage Zadre</c:v>
                </c:pt>
                <c:pt idx="22">
                  <c:v>OŠ Mitnica</c:v>
                </c:pt>
                <c:pt idx="23">
                  <c:v>OŠ Josipa Matoša</c:v>
                </c:pt>
              </c:strCache>
            </c:strRef>
          </c:cat>
          <c:val>
            <c:numRef>
              <c:f>'Proračunski korisnici'!$C$2:$C$25</c:f>
              <c:numCache>
                <c:formatCode>#,##0.00</c:formatCode>
                <c:ptCount val="24"/>
                <c:pt idx="0">
                  <c:v>9.46857616285951E-2</c:v>
                </c:pt>
                <c:pt idx="1">
                  <c:v>2.7360054444312936</c:v>
                </c:pt>
                <c:pt idx="2">
                  <c:v>1.7351165818440053</c:v>
                </c:pt>
                <c:pt idx="3">
                  <c:v>24.400284057284885</c:v>
                </c:pt>
                <c:pt idx="4">
                  <c:v>0.70653331755237314</c:v>
                </c:pt>
                <c:pt idx="5">
                  <c:v>3.865149721860575</c:v>
                </c:pt>
                <c:pt idx="6">
                  <c:v>3.9607669546691917</c:v>
                </c:pt>
                <c:pt idx="7">
                  <c:v>0.63570600071014316</c:v>
                </c:pt>
                <c:pt idx="8">
                  <c:v>4.9510001183572017E-2</c:v>
                </c:pt>
                <c:pt idx="9">
                  <c:v>29.805184045449167</c:v>
                </c:pt>
                <c:pt idx="10">
                  <c:v>5.68450230796544</c:v>
                </c:pt>
                <c:pt idx="11">
                  <c:v>0.62430701858208071</c:v>
                </c:pt>
                <c:pt idx="12">
                  <c:v>0.96723872647650611</c:v>
                </c:pt>
                <c:pt idx="13">
                  <c:v>0.9631364658539473</c:v>
                </c:pt>
                <c:pt idx="14">
                  <c:v>2.4512818084980474</c:v>
                </c:pt>
                <c:pt idx="15">
                  <c:v>4.1576245709551429</c:v>
                </c:pt>
                <c:pt idx="16">
                  <c:v>1.6003337673097406</c:v>
                </c:pt>
                <c:pt idx="17">
                  <c:v>3.5118948988045919</c:v>
                </c:pt>
                <c:pt idx="18">
                  <c:v>2.1239199905314239</c:v>
                </c:pt>
                <c:pt idx="19">
                  <c:v>1.7398508699254349</c:v>
                </c:pt>
                <c:pt idx="20">
                  <c:v>2.3012119777488458</c:v>
                </c:pt>
                <c:pt idx="21">
                  <c:v>1.8404899988164278</c:v>
                </c:pt>
                <c:pt idx="22">
                  <c:v>2.1734347260030771</c:v>
                </c:pt>
                <c:pt idx="23">
                  <c:v>1.8718309859154929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korisnici'!$A$2:$A$25</c15:sqref>
                        </c15:formulaRef>
                      </c:ext>
                    </c:extLst>
                    <c:strCache>
                      <c:ptCount val="24"/>
                      <c:pt idx="0">
                        <c:v>Izdaci za financijsku imovinu i otplate zajmova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Upravni odjel za komunalno gospodarstvo i graditeljstvo</c:v>
                      </c:pt>
                      <c:pt idx="4">
                        <c:v>Služba - vlastiti pogon</c:v>
                      </c:pt>
                      <c:pt idx="5">
                        <c:v>Upravni odjel za prostorno uređenje i imovinu</c:v>
                      </c:pt>
                      <c:pt idx="6">
                        <c:v>Upravni odjel za gospodarstvo</c:v>
                      </c:pt>
                      <c:pt idx="7">
                        <c:v>Upravni odjel za financije i nabavu</c:v>
                      </c:pt>
                      <c:pt idx="8">
                        <c:v>Služba za unutarnju reviziju</c:v>
                      </c:pt>
                      <c:pt idx="9">
                        <c:v>Upravni odjel za obrazovanje, sport i branitelje</c:v>
                      </c:pt>
                      <c:pt idx="10">
                        <c:v>Upravni odjel za društvene djelatnosti</c:v>
                      </c:pt>
                      <c:pt idx="11">
                        <c:v>Gradska knjižnica Vukovar</c:v>
                      </c:pt>
                      <c:pt idx="12">
                        <c:v>Gradski muzej Vukovar</c:v>
                      </c:pt>
                      <c:pt idx="13">
                        <c:v>Javna ustanova u kulturi - Hrvatski dom</c:v>
                      </c:pt>
                      <c:pt idx="14">
                        <c:v>Javna ustanova za upravljanje sportskim objektima</c:v>
                      </c:pt>
                      <c:pt idx="15">
                        <c:v>Dječji vrtić Vukovar 1</c:v>
                      </c:pt>
                      <c:pt idx="16">
                        <c:v>Dječji vrtić Vukovar 2</c:v>
                      </c:pt>
                      <c:pt idx="17">
                        <c:v>OŠ Dragutina Tadijanovića</c:v>
                      </c:pt>
                      <c:pt idx="18">
                        <c:v>OŠ Antuna Bauera</c:v>
                      </c:pt>
                      <c:pt idx="19">
                        <c:v>OŠ Nikole Andrića</c:v>
                      </c:pt>
                      <c:pt idx="20">
                        <c:v>OŠ Siniše Glavaševića</c:v>
                      </c:pt>
                      <c:pt idx="21">
                        <c:v>OŠ Blage Zadre</c:v>
                      </c:pt>
                      <c:pt idx="22">
                        <c:v>OŠ Mitnica</c:v>
                      </c:pt>
                      <c:pt idx="23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korisnici'!$B$2:$B$25</c15:sqref>
                        </c15:formulaRef>
                      </c:ext>
                    </c:extLst>
                    <c:numCache>
                      <c:formatCode>#,##0.00</c:formatCode>
                      <c:ptCount val="24"/>
                      <c:pt idx="0">
                        <c:v>80000</c:v>
                      </c:pt>
                      <c:pt idx="1">
                        <c:v>2311651</c:v>
                      </c:pt>
                      <c:pt idx="2">
                        <c:v>1466000</c:v>
                      </c:pt>
                      <c:pt idx="3">
                        <c:v>20615800</c:v>
                      </c:pt>
                      <c:pt idx="4">
                        <c:v>596950</c:v>
                      </c:pt>
                      <c:pt idx="5">
                        <c:v>3265665</c:v>
                      </c:pt>
                      <c:pt idx="6">
                        <c:v>3346452</c:v>
                      </c:pt>
                      <c:pt idx="7">
                        <c:v>537108</c:v>
                      </c:pt>
                      <c:pt idx="8">
                        <c:v>41831</c:v>
                      </c:pt>
                      <c:pt idx="9">
                        <c:v>25182400</c:v>
                      </c:pt>
                      <c:pt idx="10">
                        <c:v>4802836</c:v>
                      </c:pt>
                      <c:pt idx="11">
                        <c:v>527477</c:v>
                      </c:pt>
                      <c:pt idx="12">
                        <c:v>817220</c:v>
                      </c:pt>
                      <c:pt idx="13">
                        <c:v>813754</c:v>
                      </c:pt>
                      <c:pt idx="14">
                        <c:v>2071088</c:v>
                      </c:pt>
                      <c:pt idx="15">
                        <c:v>3512777</c:v>
                      </c:pt>
                      <c:pt idx="16">
                        <c:v>1352122</c:v>
                      </c:pt>
                      <c:pt idx="17">
                        <c:v>2967200</c:v>
                      </c:pt>
                      <c:pt idx="18">
                        <c:v>1794500</c:v>
                      </c:pt>
                      <c:pt idx="19">
                        <c:v>1470000</c:v>
                      </c:pt>
                      <c:pt idx="20">
                        <c:v>1944294</c:v>
                      </c:pt>
                      <c:pt idx="21">
                        <c:v>1555030</c:v>
                      </c:pt>
                      <c:pt idx="22">
                        <c:v>1836335</c:v>
                      </c:pt>
                      <c:pt idx="23">
                        <c:v>1581510</c:v>
                      </c:pt>
                    </c:numCache>
                  </c:numRef>
                </c:val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761560562027532E-2"/>
          <c:y val="0.68257961168684866"/>
          <c:w val="0.93878602714092918"/>
          <c:h val="0.31302960894981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7456672082656324"/>
          <c:h val="0.88322562211369149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RASHODA'!$B$3:$B$14</c:f>
              <c:numCache>
                <c:formatCode>#,##0.00</c:formatCode>
                <c:ptCount val="12"/>
                <c:pt idx="0">
                  <c:v>1618302</c:v>
                </c:pt>
                <c:pt idx="1">
                  <c:v>1369047</c:v>
                </c:pt>
                <c:pt idx="2">
                  <c:v>2447137</c:v>
                </c:pt>
                <c:pt idx="3">
                  <c:v>609924</c:v>
                </c:pt>
                <c:pt idx="4">
                  <c:v>1576000</c:v>
                </c:pt>
                <c:pt idx="5">
                  <c:v>17751000</c:v>
                </c:pt>
                <c:pt idx="6">
                  <c:v>3533788</c:v>
                </c:pt>
                <c:pt idx="7">
                  <c:v>31259369</c:v>
                </c:pt>
                <c:pt idx="8">
                  <c:v>1620550</c:v>
                </c:pt>
                <c:pt idx="9">
                  <c:v>4864899</c:v>
                </c:pt>
                <c:pt idx="10">
                  <c:v>7171800</c:v>
                </c:pt>
                <c:pt idx="11">
                  <c:v>10668184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RASHODA'!$C$3:$C$14</c:f>
              <c:numCache>
                <c:formatCode>#,##0.00</c:formatCode>
                <c:ptCount val="12"/>
                <c:pt idx="0">
                  <c:v>1.9153769676884838</c:v>
                </c:pt>
                <c:pt idx="1">
                  <c:v>1.6203657237542906</c:v>
                </c:pt>
                <c:pt idx="2">
                  <c:v>2.8963628831814416</c:v>
                </c:pt>
                <c:pt idx="3">
                  <c:v>0.72188898094449039</c:v>
                </c:pt>
                <c:pt idx="4">
                  <c:v>1.8653095040833234</c:v>
                </c:pt>
                <c:pt idx="5">
                  <c:v>21.009586933364897</c:v>
                </c:pt>
                <c:pt idx="6">
                  <c:v>4.1824926026748726</c:v>
                </c:pt>
                <c:pt idx="7">
                  <c:v>36.997714522428687</c:v>
                </c:pt>
                <c:pt idx="8">
                  <c:v>1.9180376375902475</c:v>
                </c:pt>
                <c:pt idx="9">
                  <c:v>5.7579583382648831</c:v>
                </c:pt>
                <c:pt idx="10">
                  <c:v>8.4883418155994796</c:v>
                </c:pt>
                <c:pt idx="11">
                  <c:v>12.626564090424901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7760540349123024"/>
          <c:y val="5.0880873991226948E-2"/>
          <c:w val="0.4094285089363829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CF96-F216-4861-B4D2-0602CA19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3378</TotalTime>
  <Pages>10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121</cp:revision>
  <cp:lastPrinted>2025-02-25T08:23:00Z</cp:lastPrinted>
  <dcterms:created xsi:type="dcterms:W3CDTF">2019-10-07T11:55:00Z</dcterms:created>
  <dcterms:modified xsi:type="dcterms:W3CDTF">2025-02-25T13:02:00Z</dcterms:modified>
</cp:coreProperties>
</file>